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华康简魏碑"/>
          <w:b/>
          <w:bCs/>
          <w:spacing w:val="80"/>
          <w:sz w:val="30"/>
        </w:rPr>
      </w:pPr>
    </w:p>
    <w:p>
      <w:pPr>
        <w:pStyle w:val="9"/>
        <w:jc w:val="center"/>
        <w:rPr>
          <w:rFonts w:ascii="华康简魏碑" w:eastAsia="华康简魏碑"/>
          <w:b/>
          <w:bCs/>
          <w:spacing w:val="80"/>
          <w:sz w:val="64"/>
        </w:rPr>
      </w:pPr>
    </w:p>
    <w:p>
      <w:pPr>
        <w:pStyle w:val="9"/>
        <w:jc w:val="center"/>
        <w:rPr>
          <w:rFonts w:ascii="楷体_GB2312" w:eastAsia="楷体_GB2312"/>
          <w:b/>
          <w:bCs/>
          <w:sz w:val="44"/>
          <w:szCs w:val="44"/>
        </w:rPr>
      </w:pPr>
    </w:p>
    <w:p>
      <w:pPr>
        <w:pStyle w:val="9"/>
        <w:jc w:val="center"/>
        <w:rPr>
          <w:rFonts w:ascii="楷体_GB2312" w:eastAsia="楷体_GB2312"/>
          <w:b/>
          <w:bCs/>
          <w:sz w:val="44"/>
          <w:szCs w:val="44"/>
        </w:rPr>
      </w:pPr>
    </w:p>
    <w:p>
      <w:pPr>
        <w:pStyle w:val="9"/>
        <w:jc w:val="center"/>
        <w:rPr>
          <w:rFonts w:ascii="楷体_GB2312" w:eastAsia="楷体_GB2312"/>
          <w:b/>
          <w:bCs/>
          <w:sz w:val="72"/>
        </w:rPr>
      </w:pPr>
      <w:r>
        <w:rPr>
          <w:rFonts w:hint="eastAsia"/>
          <w:sz w:val="96"/>
          <w:szCs w:val="96"/>
        </w:rPr>
        <w:t>招标文件</w:t>
      </w:r>
    </w:p>
    <w:p>
      <w:pPr>
        <w:jc w:val="center"/>
        <w:rPr>
          <w:rFonts w:ascii="宋体" w:hAnsi="宋体"/>
          <w:b/>
          <w:sz w:val="36"/>
          <w:szCs w:val="36"/>
        </w:rPr>
      </w:pPr>
      <w:r>
        <w:rPr>
          <w:rFonts w:hint="eastAsia" w:ascii="宋体" w:hAnsi="宋体"/>
          <w:b/>
          <w:sz w:val="36"/>
          <w:szCs w:val="36"/>
        </w:rPr>
        <w:t>(货物类、交易)</w:t>
      </w:r>
    </w:p>
    <w:p>
      <w:pPr>
        <w:pStyle w:val="9"/>
      </w:pPr>
    </w:p>
    <w:p>
      <w:pPr>
        <w:pStyle w:val="9"/>
      </w:pPr>
    </w:p>
    <w:p>
      <w:pPr>
        <w:pStyle w:val="9"/>
      </w:pPr>
    </w:p>
    <w:p>
      <w:pPr>
        <w:pStyle w:val="9"/>
      </w:pPr>
    </w:p>
    <w:p>
      <w:pPr>
        <w:pStyle w:val="9"/>
      </w:pPr>
    </w:p>
    <w:p>
      <w:pPr>
        <w:ind w:firstLine="602" w:firstLineChars="200"/>
        <w:rPr>
          <w:rFonts w:ascii="宋体" w:hAnsi="宋体"/>
          <w:b/>
          <w:sz w:val="28"/>
          <w:szCs w:val="28"/>
        </w:rPr>
      </w:pPr>
      <w:r>
        <w:rPr>
          <w:rFonts w:hint="eastAsia" w:ascii="宋体" w:hAnsi="宋体"/>
          <w:b/>
          <w:sz w:val="30"/>
          <w:szCs w:val="30"/>
        </w:rPr>
        <w:t>项目名称：</w:t>
      </w:r>
      <w:r>
        <w:rPr>
          <w:rFonts w:hint="eastAsia" w:ascii="宋体" w:hAnsi="宋体"/>
          <w:b/>
          <w:sz w:val="28"/>
          <w:szCs w:val="28"/>
        </w:rPr>
        <w:t>南宁交通投资集团有限责任公司2020年第二批办公设备采购</w:t>
      </w:r>
    </w:p>
    <w:p>
      <w:pPr>
        <w:ind w:left="1079" w:leftChars="342" w:hanging="361" w:hangingChars="100"/>
        <w:jc w:val="left"/>
        <w:rPr>
          <w:b/>
          <w:sz w:val="36"/>
          <w:szCs w:val="36"/>
          <w:u w:val="single"/>
        </w:rPr>
      </w:pPr>
      <w:r>
        <w:rPr>
          <w:rFonts w:hint="eastAsia" w:ascii="宋体" w:hAnsi="宋体"/>
          <w:b/>
          <w:sz w:val="36"/>
          <w:szCs w:val="36"/>
        </w:rPr>
        <w:t>项目编号：交投DEPBGSBCG-2020-12-002</w:t>
      </w:r>
    </w:p>
    <w:p>
      <w:pPr>
        <w:rPr>
          <w:b/>
          <w:sz w:val="36"/>
          <w:szCs w:val="36"/>
        </w:rPr>
      </w:pPr>
    </w:p>
    <w:p>
      <w:pPr>
        <w:pStyle w:val="2"/>
        <w:rPr>
          <w:sz w:val="36"/>
          <w:szCs w:val="36"/>
        </w:rPr>
      </w:pPr>
    </w:p>
    <w:p/>
    <w:p>
      <w:pPr>
        <w:rPr>
          <w:b/>
          <w:sz w:val="36"/>
          <w:szCs w:val="36"/>
        </w:rPr>
      </w:pPr>
    </w:p>
    <w:p>
      <w:pPr>
        <w:ind w:firstLine="361" w:firstLineChars="100"/>
        <w:jc w:val="left"/>
        <w:rPr>
          <w:b/>
          <w:sz w:val="36"/>
          <w:szCs w:val="36"/>
        </w:rPr>
      </w:pPr>
      <w:r>
        <w:rPr>
          <w:rFonts w:hint="eastAsia"/>
          <w:b/>
          <w:sz w:val="36"/>
          <w:szCs w:val="36"/>
        </w:rPr>
        <w:t>采购人：南宁交通投资集团有限责任公司</w:t>
      </w:r>
    </w:p>
    <w:p>
      <w:pPr>
        <w:widowControl/>
        <w:jc w:val="center"/>
        <w:rPr>
          <w:rFonts w:hAnsi="宋体"/>
          <w:b/>
          <w:sz w:val="36"/>
          <w:szCs w:val="36"/>
        </w:rPr>
      </w:pPr>
      <w:bookmarkStart w:id="0" w:name="CgwjmbEntity：NY_0"/>
      <w:r>
        <w:rPr>
          <w:rFonts w:hAnsi="宋体"/>
          <w:b/>
          <w:sz w:val="36"/>
          <w:szCs w:val="36"/>
        </w:rPr>
        <w:t>20</w:t>
      </w:r>
      <w:r>
        <w:rPr>
          <w:rFonts w:hint="eastAsia" w:hAnsi="宋体"/>
          <w:b/>
          <w:sz w:val="36"/>
          <w:szCs w:val="36"/>
        </w:rPr>
        <w:t>20</w:t>
      </w:r>
      <w:r>
        <w:rPr>
          <w:rFonts w:hAnsi="宋体"/>
          <w:b/>
          <w:sz w:val="36"/>
          <w:szCs w:val="36"/>
        </w:rPr>
        <w:t>年 月</w:t>
      </w:r>
      <w:bookmarkEnd w:id="0"/>
    </w:p>
    <w:p/>
    <w:p/>
    <w:p/>
    <w:p/>
    <w:p/>
    <w:p>
      <w:pPr>
        <w:tabs>
          <w:tab w:val="left" w:pos="6595"/>
        </w:tabs>
        <w:jc w:val="left"/>
        <w:sectPr>
          <w:headerReference r:id="rId3" w:type="default"/>
          <w:pgSz w:w="11906" w:h="16838"/>
          <w:pgMar w:top="1134" w:right="1134" w:bottom="1134" w:left="1134" w:header="720" w:footer="720" w:gutter="0"/>
          <w:pgNumType w:start="0"/>
          <w:cols w:space="720" w:num="1"/>
          <w:docGrid w:type="lines" w:linePitch="331" w:charSpace="0"/>
        </w:sectPr>
      </w:pPr>
    </w:p>
    <w:p>
      <w:pPr>
        <w:pStyle w:val="9"/>
        <w:rPr>
          <w:rFonts w:ascii="Times New Roman" w:hAnsi="Times New Roman"/>
        </w:rPr>
      </w:pPr>
    </w:p>
    <w:p>
      <w:pPr>
        <w:pStyle w:val="9"/>
        <w:jc w:val="center"/>
        <w:rPr>
          <w:rFonts w:ascii="Times New Roman" w:hAnsi="Times New Roman"/>
          <w:b/>
          <w:sz w:val="48"/>
          <w:szCs w:val="48"/>
        </w:rPr>
      </w:pPr>
      <w:r>
        <w:rPr>
          <w:rFonts w:hint="eastAsia" w:ascii="Times New Roman" w:hAnsi="Times New Roman"/>
          <w:b/>
          <w:sz w:val="48"/>
          <w:szCs w:val="48"/>
        </w:rPr>
        <w:t>目录</w:t>
      </w:r>
    </w:p>
    <w:p>
      <w:pPr>
        <w:pStyle w:val="15"/>
        <w:rPr>
          <w:bCs w:val="0"/>
          <w:caps w:val="0"/>
          <w:sz w:val="48"/>
          <w:szCs w:val="48"/>
        </w:rPr>
      </w:pPr>
    </w:p>
    <w:p>
      <w:pPr>
        <w:pStyle w:val="15"/>
        <w:tabs>
          <w:tab w:val="right" w:leader="dot" w:pos="9628"/>
        </w:tabs>
        <w:rPr>
          <w:rFonts w:ascii="宋体" w:hAnsi="宋体"/>
          <w:b w:val="0"/>
          <w:bCs w:val="0"/>
          <w:caps w:val="0"/>
          <w:sz w:val="28"/>
          <w:szCs w:val="28"/>
        </w:rPr>
      </w:pPr>
      <w:r>
        <w:fldChar w:fldCharType="begin"/>
      </w:r>
      <w:r>
        <w:rPr>
          <w:rFonts w:hint="eastAsia" w:ascii="宋体" w:hAnsi="宋体"/>
          <w:b w:val="0"/>
          <w:bCs w:val="0"/>
          <w:caps w:val="0"/>
          <w:sz w:val="28"/>
          <w:szCs w:val="28"/>
        </w:rPr>
        <w:instrText xml:space="preserve"> TOC \o "1-3" \h \z \u </w:instrText>
      </w:r>
      <w:r>
        <w:fldChar w:fldCharType="separate"/>
      </w:r>
      <w:r>
        <w:fldChar w:fldCharType="begin"/>
      </w:r>
      <w:r>
        <w:instrText xml:space="preserve"> HYPERLINK \l "_Toc503169364" </w:instrText>
      </w:r>
      <w:r>
        <w:fldChar w:fldCharType="separate"/>
      </w:r>
      <w:r>
        <w:rPr>
          <w:rStyle w:val="26"/>
          <w:rFonts w:hint="eastAsia" w:ascii="宋体" w:hAnsi="宋体"/>
          <w:color w:val="auto"/>
          <w:sz w:val="28"/>
          <w:szCs w:val="28"/>
        </w:rPr>
        <w:t>第一章公告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_Toc503169364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15"/>
        <w:tabs>
          <w:tab w:val="right" w:leader="dot" w:pos="9628"/>
        </w:tabs>
        <w:rPr>
          <w:rFonts w:ascii="宋体" w:hAnsi="宋体"/>
          <w:b w:val="0"/>
          <w:bCs w:val="0"/>
          <w:caps w:val="0"/>
          <w:sz w:val="28"/>
          <w:szCs w:val="28"/>
        </w:rPr>
      </w:pPr>
      <w:r>
        <w:fldChar w:fldCharType="begin"/>
      </w:r>
      <w:r>
        <w:instrText xml:space="preserve"> HYPERLINK \l "_Toc503169365" </w:instrText>
      </w:r>
      <w:r>
        <w:fldChar w:fldCharType="separate"/>
      </w:r>
      <w:r>
        <w:rPr>
          <w:rStyle w:val="26"/>
          <w:rFonts w:hint="eastAsia" w:ascii="宋体" w:hAnsi="宋体"/>
          <w:color w:val="auto"/>
          <w:sz w:val="28"/>
          <w:szCs w:val="28"/>
        </w:rPr>
        <w:t>第二章货物需求一览表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_Toc503169365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pPr>
        <w:pStyle w:val="15"/>
        <w:tabs>
          <w:tab w:val="right" w:leader="dot" w:pos="9628"/>
        </w:tabs>
        <w:rPr>
          <w:rFonts w:ascii="宋体" w:hAnsi="宋体"/>
          <w:b w:val="0"/>
          <w:bCs w:val="0"/>
          <w:caps w:val="0"/>
          <w:sz w:val="28"/>
          <w:szCs w:val="28"/>
        </w:rPr>
      </w:pPr>
      <w:r>
        <w:fldChar w:fldCharType="begin"/>
      </w:r>
      <w:r>
        <w:instrText xml:space="preserve"> HYPERLINK \l "_Toc503169366" </w:instrText>
      </w:r>
      <w:r>
        <w:fldChar w:fldCharType="separate"/>
      </w:r>
      <w:r>
        <w:rPr>
          <w:rStyle w:val="26"/>
          <w:rFonts w:hint="eastAsia" w:ascii="宋体" w:hAnsi="宋体"/>
          <w:color w:val="auto"/>
          <w:sz w:val="28"/>
          <w:szCs w:val="28"/>
        </w:rPr>
        <w:t>第三章评标方法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_Toc503169366 \h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fldChar w:fldCharType="end"/>
      </w:r>
    </w:p>
    <w:p>
      <w:pPr>
        <w:pStyle w:val="15"/>
        <w:tabs>
          <w:tab w:val="right" w:leader="dot" w:pos="9628"/>
        </w:tabs>
        <w:rPr>
          <w:rFonts w:ascii="宋体" w:hAnsi="宋体"/>
          <w:b w:val="0"/>
          <w:bCs w:val="0"/>
          <w:caps w:val="0"/>
          <w:sz w:val="28"/>
          <w:szCs w:val="28"/>
        </w:rPr>
      </w:pPr>
      <w:r>
        <w:fldChar w:fldCharType="begin"/>
      </w:r>
      <w:r>
        <w:instrText xml:space="preserve"> HYPERLINK \l "_Toc503169367" </w:instrText>
      </w:r>
      <w:r>
        <w:fldChar w:fldCharType="separate"/>
      </w:r>
      <w:r>
        <w:rPr>
          <w:rStyle w:val="26"/>
          <w:rFonts w:hint="eastAsia" w:ascii="宋体" w:hAnsi="宋体"/>
          <w:color w:val="auto"/>
          <w:sz w:val="28"/>
          <w:szCs w:val="28"/>
        </w:rPr>
        <w:t>第四章投标人须知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_Toc503169367 \h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fldChar w:fldCharType="end"/>
      </w:r>
    </w:p>
    <w:p>
      <w:pPr>
        <w:pStyle w:val="16"/>
        <w:rPr>
          <w:rFonts w:ascii="宋体" w:hAnsi="宋体"/>
          <w:smallCaps w:val="0"/>
          <w:sz w:val="28"/>
          <w:szCs w:val="28"/>
        </w:rPr>
      </w:pPr>
      <w:r>
        <w:fldChar w:fldCharType="begin"/>
      </w:r>
      <w:r>
        <w:instrText xml:space="preserve"> HYPERLINK \l "_Toc503169368" </w:instrText>
      </w:r>
      <w:r>
        <w:fldChar w:fldCharType="separate"/>
      </w:r>
      <w:r>
        <w:rPr>
          <w:rStyle w:val="26"/>
          <w:rFonts w:hint="eastAsia" w:ascii="宋体" w:hAnsi="宋体"/>
          <w:b/>
          <w:color w:val="auto"/>
          <w:sz w:val="28"/>
          <w:szCs w:val="28"/>
        </w:rPr>
        <w:t>一总则</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_Toc503169368 \h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sz w:val="28"/>
          <w:szCs w:val="28"/>
        </w:rPr>
        <w:fldChar w:fldCharType="end"/>
      </w:r>
    </w:p>
    <w:p>
      <w:pPr>
        <w:pStyle w:val="16"/>
        <w:rPr>
          <w:rFonts w:ascii="宋体" w:hAnsi="宋体"/>
          <w:smallCaps w:val="0"/>
          <w:sz w:val="28"/>
          <w:szCs w:val="28"/>
        </w:rPr>
      </w:pPr>
      <w:r>
        <w:fldChar w:fldCharType="begin"/>
      </w:r>
      <w:r>
        <w:instrText xml:space="preserve"> HYPERLINK \l "_Toc503169369" </w:instrText>
      </w:r>
      <w:r>
        <w:fldChar w:fldCharType="separate"/>
      </w:r>
      <w:r>
        <w:rPr>
          <w:rStyle w:val="26"/>
          <w:rFonts w:hint="eastAsia" w:ascii="宋体" w:hAnsi="宋体"/>
          <w:b/>
          <w:color w:val="auto"/>
          <w:sz w:val="28"/>
          <w:szCs w:val="28"/>
        </w:rPr>
        <w:t>二公开招标文件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_Toc503169369 \h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fldChar w:fldCharType="end"/>
      </w:r>
    </w:p>
    <w:p>
      <w:pPr>
        <w:pStyle w:val="16"/>
        <w:rPr>
          <w:rFonts w:ascii="宋体" w:hAnsi="宋体"/>
          <w:smallCaps w:val="0"/>
          <w:sz w:val="28"/>
          <w:szCs w:val="28"/>
        </w:rPr>
      </w:pPr>
      <w:r>
        <w:fldChar w:fldCharType="begin"/>
      </w:r>
      <w:r>
        <w:instrText xml:space="preserve"> HYPERLINK \l "_Toc503169370" </w:instrText>
      </w:r>
      <w:r>
        <w:fldChar w:fldCharType="separate"/>
      </w:r>
      <w:r>
        <w:rPr>
          <w:rStyle w:val="26"/>
          <w:rFonts w:hint="eastAsia" w:ascii="宋体" w:hAnsi="宋体"/>
          <w:b/>
          <w:color w:val="auto"/>
          <w:sz w:val="28"/>
          <w:szCs w:val="28"/>
        </w:rPr>
        <w:t>三投标文件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_Toc503169370 \h </w:instrText>
      </w:r>
      <w:r>
        <w:rPr>
          <w:rFonts w:ascii="宋体" w:hAnsi="宋体"/>
          <w:sz w:val="28"/>
          <w:szCs w:val="28"/>
        </w:rPr>
        <w:fldChar w:fldCharType="separate"/>
      </w:r>
      <w:r>
        <w:rPr>
          <w:rFonts w:ascii="宋体" w:hAnsi="宋体"/>
          <w:sz w:val="28"/>
          <w:szCs w:val="28"/>
        </w:rPr>
        <w:t>17</w:t>
      </w:r>
      <w:r>
        <w:rPr>
          <w:rFonts w:ascii="宋体" w:hAnsi="宋体"/>
          <w:sz w:val="28"/>
          <w:szCs w:val="28"/>
        </w:rPr>
        <w:fldChar w:fldCharType="end"/>
      </w:r>
      <w:r>
        <w:rPr>
          <w:rFonts w:ascii="宋体" w:hAnsi="宋体"/>
          <w:sz w:val="28"/>
          <w:szCs w:val="28"/>
        </w:rPr>
        <w:fldChar w:fldCharType="end"/>
      </w:r>
    </w:p>
    <w:p>
      <w:pPr>
        <w:pStyle w:val="16"/>
        <w:rPr>
          <w:rFonts w:ascii="宋体" w:hAnsi="宋体"/>
          <w:smallCaps w:val="0"/>
          <w:sz w:val="28"/>
          <w:szCs w:val="28"/>
        </w:rPr>
      </w:pPr>
      <w:r>
        <w:fldChar w:fldCharType="begin"/>
      </w:r>
      <w:r>
        <w:instrText xml:space="preserve"> HYPERLINK \l "_Toc503169371" </w:instrText>
      </w:r>
      <w:r>
        <w:fldChar w:fldCharType="separate"/>
      </w:r>
      <w:r>
        <w:rPr>
          <w:rStyle w:val="26"/>
          <w:rFonts w:hint="eastAsia" w:ascii="宋体" w:hAnsi="宋体"/>
          <w:b/>
          <w:color w:val="auto"/>
          <w:sz w:val="28"/>
          <w:szCs w:val="28"/>
        </w:rPr>
        <w:t>四投标</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_Toc503169371 \h </w:instrText>
      </w:r>
      <w:r>
        <w:rPr>
          <w:rFonts w:ascii="宋体" w:hAnsi="宋体"/>
          <w:sz w:val="28"/>
          <w:szCs w:val="28"/>
        </w:rPr>
        <w:fldChar w:fldCharType="separate"/>
      </w:r>
      <w:r>
        <w:rPr>
          <w:rFonts w:ascii="宋体" w:hAnsi="宋体"/>
          <w:sz w:val="28"/>
          <w:szCs w:val="28"/>
        </w:rPr>
        <w:t>21</w:t>
      </w:r>
      <w:r>
        <w:rPr>
          <w:rFonts w:ascii="宋体" w:hAnsi="宋体"/>
          <w:sz w:val="28"/>
          <w:szCs w:val="28"/>
        </w:rPr>
        <w:fldChar w:fldCharType="end"/>
      </w:r>
      <w:r>
        <w:rPr>
          <w:rFonts w:ascii="宋体" w:hAnsi="宋体"/>
          <w:sz w:val="28"/>
          <w:szCs w:val="28"/>
        </w:rPr>
        <w:fldChar w:fldCharType="end"/>
      </w:r>
    </w:p>
    <w:p>
      <w:pPr>
        <w:pStyle w:val="16"/>
        <w:rPr>
          <w:rFonts w:ascii="宋体" w:hAnsi="宋体"/>
          <w:smallCaps w:val="0"/>
          <w:sz w:val="28"/>
          <w:szCs w:val="28"/>
        </w:rPr>
      </w:pPr>
      <w:r>
        <w:fldChar w:fldCharType="begin"/>
      </w:r>
      <w:r>
        <w:instrText xml:space="preserve"> HYPERLINK \l "_Toc503169372" </w:instrText>
      </w:r>
      <w:r>
        <w:fldChar w:fldCharType="separate"/>
      </w:r>
      <w:r>
        <w:rPr>
          <w:rStyle w:val="26"/>
          <w:rFonts w:hint="eastAsia" w:ascii="宋体" w:hAnsi="宋体"/>
          <w:b/>
          <w:color w:val="auto"/>
          <w:sz w:val="28"/>
          <w:szCs w:val="28"/>
        </w:rPr>
        <w:t>五开标、资格审查与评标</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_Toc503169372 \h </w:instrText>
      </w:r>
      <w:r>
        <w:rPr>
          <w:rFonts w:ascii="宋体" w:hAnsi="宋体"/>
          <w:sz w:val="28"/>
          <w:szCs w:val="28"/>
        </w:rPr>
        <w:fldChar w:fldCharType="separate"/>
      </w:r>
      <w:r>
        <w:rPr>
          <w:rFonts w:ascii="宋体" w:hAnsi="宋体"/>
          <w:sz w:val="28"/>
          <w:szCs w:val="28"/>
        </w:rPr>
        <w:t>21</w:t>
      </w:r>
      <w:r>
        <w:rPr>
          <w:rFonts w:ascii="宋体" w:hAnsi="宋体"/>
          <w:sz w:val="28"/>
          <w:szCs w:val="28"/>
        </w:rPr>
        <w:fldChar w:fldCharType="end"/>
      </w:r>
      <w:r>
        <w:rPr>
          <w:rFonts w:ascii="宋体" w:hAnsi="宋体"/>
          <w:sz w:val="28"/>
          <w:szCs w:val="28"/>
        </w:rPr>
        <w:fldChar w:fldCharType="end"/>
      </w:r>
    </w:p>
    <w:p>
      <w:pPr>
        <w:pStyle w:val="16"/>
        <w:rPr>
          <w:rFonts w:ascii="宋体" w:hAnsi="宋体"/>
          <w:smallCaps w:val="0"/>
          <w:sz w:val="28"/>
          <w:szCs w:val="28"/>
        </w:rPr>
      </w:pPr>
      <w:r>
        <w:fldChar w:fldCharType="begin"/>
      </w:r>
      <w:r>
        <w:instrText xml:space="preserve"> HYPERLINK \l "_Toc503169373" </w:instrText>
      </w:r>
      <w:r>
        <w:fldChar w:fldCharType="separate"/>
      </w:r>
      <w:r>
        <w:rPr>
          <w:rStyle w:val="26"/>
          <w:rFonts w:hint="eastAsia" w:ascii="宋体" w:hAnsi="宋体"/>
          <w:b/>
          <w:color w:val="auto"/>
          <w:sz w:val="28"/>
          <w:szCs w:val="28"/>
        </w:rPr>
        <w:t>六合同授予</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_Toc503169373 \h </w:instrText>
      </w:r>
      <w:r>
        <w:rPr>
          <w:rFonts w:ascii="宋体" w:hAnsi="宋体"/>
          <w:sz w:val="28"/>
          <w:szCs w:val="28"/>
        </w:rPr>
        <w:fldChar w:fldCharType="separate"/>
      </w:r>
      <w:r>
        <w:rPr>
          <w:rFonts w:ascii="宋体" w:hAnsi="宋体"/>
          <w:sz w:val="28"/>
          <w:szCs w:val="28"/>
        </w:rPr>
        <w:t>25</w:t>
      </w:r>
      <w:r>
        <w:rPr>
          <w:rFonts w:ascii="宋体" w:hAnsi="宋体"/>
          <w:sz w:val="28"/>
          <w:szCs w:val="28"/>
        </w:rPr>
        <w:fldChar w:fldCharType="end"/>
      </w:r>
      <w:r>
        <w:rPr>
          <w:rFonts w:ascii="宋体" w:hAnsi="宋体"/>
          <w:sz w:val="28"/>
          <w:szCs w:val="28"/>
        </w:rPr>
        <w:fldChar w:fldCharType="end"/>
      </w:r>
    </w:p>
    <w:p>
      <w:pPr>
        <w:pStyle w:val="16"/>
        <w:rPr>
          <w:rFonts w:ascii="宋体" w:hAnsi="宋体"/>
          <w:smallCaps w:val="0"/>
          <w:sz w:val="28"/>
          <w:szCs w:val="28"/>
        </w:rPr>
      </w:pPr>
      <w:r>
        <w:fldChar w:fldCharType="begin"/>
      </w:r>
      <w:r>
        <w:instrText xml:space="preserve"> HYPERLINK \l "_Toc503169374" </w:instrText>
      </w:r>
      <w:r>
        <w:fldChar w:fldCharType="separate"/>
      </w:r>
      <w:r>
        <w:rPr>
          <w:rStyle w:val="26"/>
          <w:rFonts w:hint="eastAsia" w:ascii="宋体" w:hAnsi="宋体"/>
          <w:b/>
          <w:color w:val="auto"/>
          <w:sz w:val="28"/>
          <w:szCs w:val="28"/>
        </w:rPr>
        <w:t>七其他事项</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_Toc503169374 \h </w:instrText>
      </w:r>
      <w:r>
        <w:rPr>
          <w:rFonts w:ascii="宋体" w:hAnsi="宋体"/>
          <w:sz w:val="28"/>
          <w:szCs w:val="28"/>
        </w:rPr>
        <w:fldChar w:fldCharType="separate"/>
      </w:r>
      <w:r>
        <w:rPr>
          <w:rFonts w:ascii="宋体" w:hAnsi="宋体"/>
          <w:sz w:val="28"/>
          <w:szCs w:val="28"/>
        </w:rPr>
        <w:t>28</w:t>
      </w:r>
      <w:r>
        <w:rPr>
          <w:rFonts w:ascii="宋体" w:hAnsi="宋体"/>
          <w:sz w:val="28"/>
          <w:szCs w:val="28"/>
        </w:rPr>
        <w:fldChar w:fldCharType="end"/>
      </w:r>
      <w:r>
        <w:rPr>
          <w:rFonts w:ascii="宋体" w:hAnsi="宋体"/>
          <w:sz w:val="28"/>
          <w:szCs w:val="28"/>
        </w:rPr>
        <w:fldChar w:fldCharType="end"/>
      </w:r>
    </w:p>
    <w:p>
      <w:pPr>
        <w:pStyle w:val="15"/>
        <w:tabs>
          <w:tab w:val="right" w:leader="dot" w:pos="9628"/>
        </w:tabs>
        <w:rPr>
          <w:rFonts w:ascii="宋体" w:hAnsi="宋体"/>
          <w:b w:val="0"/>
          <w:bCs w:val="0"/>
          <w:caps w:val="0"/>
          <w:sz w:val="28"/>
          <w:szCs w:val="28"/>
        </w:rPr>
      </w:pPr>
      <w:r>
        <w:fldChar w:fldCharType="begin"/>
      </w:r>
      <w:r>
        <w:instrText xml:space="preserve"> HYPERLINK \l "_Toc503169375" </w:instrText>
      </w:r>
      <w:r>
        <w:fldChar w:fldCharType="separate"/>
      </w:r>
      <w:r>
        <w:rPr>
          <w:rStyle w:val="26"/>
          <w:rFonts w:hint="eastAsia" w:ascii="宋体" w:hAnsi="宋体"/>
          <w:color w:val="auto"/>
          <w:sz w:val="28"/>
          <w:szCs w:val="28"/>
        </w:rPr>
        <w:t>第五章投标文件格式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_Toc503169375 \h </w:instrText>
      </w:r>
      <w:r>
        <w:rPr>
          <w:rFonts w:ascii="宋体" w:hAnsi="宋体"/>
          <w:sz w:val="28"/>
          <w:szCs w:val="28"/>
        </w:rPr>
        <w:fldChar w:fldCharType="separate"/>
      </w:r>
      <w:r>
        <w:rPr>
          <w:rFonts w:ascii="宋体" w:hAnsi="宋体"/>
          <w:sz w:val="28"/>
          <w:szCs w:val="28"/>
        </w:rPr>
        <w:t>29</w:t>
      </w:r>
      <w:r>
        <w:rPr>
          <w:rFonts w:ascii="宋体" w:hAnsi="宋体"/>
          <w:sz w:val="28"/>
          <w:szCs w:val="28"/>
        </w:rPr>
        <w:fldChar w:fldCharType="end"/>
      </w:r>
      <w:r>
        <w:rPr>
          <w:rFonts w:ascii="宋体" w:hAnsi="宋体"/>
          <w:sz w:val="28"/>
          <w:szCs w:val="28"/>
        </w:rPr>
        <w:fldChar w:fldCharType="end"/>
      </w:r>
    </w:p>
    <w:p>
      <w:pPr>
        <w:pStyle w:val="15"/>
        <w:tabs>
          <w:tab w:val="right" w:leader="dot" w:pos="9628"/>
        </w:tabs>
        <w:rPr>
          <w:rFonts w:ascii="Calibri" w:hAnsi="Calibri"/>
          <w:b w:val="0"/>
          <w:bCs w:val="0"/>
          <w:caps w:val="0"/>
          <w:sz w:val="21"/>
          <w:szCs w:val="22"/>
        </w:rPr>
      </w:pPr>
      <w:r>
        <w:fldChar w:fldCharType="begin"/>
      </w:r>
      <w:r>
        <w:instrText xml:space="preserve"> HYPERLINK \l "_Toc503169376" </w:instrText>
      </w:r>
      <w:r>
        <w:fldChar w:fldCharType="separate"/>
      </w:r>
      <w:r>
        <w:rPr>
          <w:rStyle w:val="26"/>
          <w:rFonts w:hint="eastAsia" w:ascii="宋体" w:hAnsi="宋体"/>
          <w:color w:val="auto"/>
          <w:sz w:val="28"/>
          <w:szCs w:val="28"/>
        </w:rPr>
        <w:t>第六章合同条款及格式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_Toc503169376 \h </w:instrText>
      </w:r>
      <w:r>
        <w:rPr>
          <w:rFonts w:ascii="宋体" w:hAnsi="宋体"/>
          <w:sz w:val="28"/>
          <w:szCs w:val="28"/>
        </w:rPr>
        <w:fldChar w:fldCharType="separate"/>
      </w:r>
      <w:r>
        <w:rPr>
          <w:rFonts w:ascii="宋体" w:hAnsi="宋体"/>
          <w:sz w:val="28"/>
          <w:szCs w:val="28"/>
        </w:rPr>
        <w:t>36</w:t>
      </w:r>
      <w:r>
        <w:rPr>
          <w:rFonts w:ascii="宋体" w:hAnsi="宋体"/>
          <w:sz w:val="28"/>
          <w:szCs w:val="28"/>
        </w:rPr>
        <w:fldChar w:fldCharType="end"/>
      </w:r>
      <w:r>
        <w:rPr>
          <w:rFonts w:ascii="宋体" w:hAnsi="宋体"/>
          <w:sz w:val="28"/>
          <w:szCs w:val="28"/>
        </w:rPr>
        <w:fldChar w:fldCharType="end"/>
      </w:r>
    </w:p>
    <w:p>
      <w:pPr>
        <w:pStyle w:val="9"/>
        <w:jc w:val="center"/>
        <w:rPr>
          <w:rFonts w:hAnsi="宋体"/>
          <w:b/>
          <w:bCs/>
          <w:caps/>
          <w:sz w:val="28"/>
          <w:szCs w:val="28"/>
        </w:rPr>
      </w:pPr>
      <w:r>
        <w:fldChar w:fldCharType="end"/>
      </w:r>
    </w:p>
    <w:p>
      <w:pPr>
        <w:pStyle w:val="9"/>
        <w:jc w:val="center"/>
        <w:rPr>
          <w:rFonts w:hAnsi="宋体"/>
          <w:b/>
          <w:bCs/>
          <w:caps/>
          <w:sz w:val="28"/>
          <w:szCs w:val="28"/>
        </w:rPr>
      </w:pPr>
    </w:p>
    <w:p>
      <w:pPr>
        <w:pStyle w:val="9"/>
        <w:rPr>
          <w:rFonts w:ascii="Times New Roman" w:hAnsi="Times New Roman"/>
          <w:b/>
          <w:sz w:val="36"/>
        </w:rPr>
      </w:pPr>
    </w:p>
    <w:p>
      <w:pPr>
        <w:widowControl/>
        <w:jc w:val="left"/>
        <w:rPr>
          <w:rFonts w:ascii="Times New Roman" w:hAnsi="Times New Roman" w:eastAsia="宋体"/>
          <w:b/>
          <w:sz w:val="36"/>
        </w:rPr>
      </w:pPr>
      <w:bookmarkStart w:id="1" w:name="_Toc503169364"/>
      <w:r>
        <w:rPr>
          <w:rFonts w:ascii="Times New Roman" w:hAnsi="Times New Roman"/>
          <w:b/>
          <w:sz w:val="36"/>
        </w:rPr>
        <w:br w:type="page"/>
      </w:r>
    </w:p>
    <w:p>
      <w:pPr>
        <w:pStyle w:val="9"/>
        <w:ind w:firstLine="723" w:firstLineChars="200"/>
        <w:jc w:val="center"/>
        <w:outlineLvl w:val="0"/>
        <w:rPr>
          <w:rFonts w:hAnsi="宋体"/>
          <w:b/>
          <w:sz w:val="36"/>
          <w:szCs w:val="36"/>
        </w:rPr>
      </w:pPr>
      <w:r>
        <w:rPr>
          <w:rFonts w:hint="eastAsia" w:ascii="Times New Roman" w:hAnsi="Times New Roman"/>
          <w:b/>
          <w:sz w:val="36"/>
        </w:rPr>
        <w:t>第一章公告</w:t>
      </w:r>
      <w:bookmarkEnd w:id="1"/>
    </w:p>
    <w:p>
      <w:pPr>
        <w:pStyle w:val="9"/>
        <w:ind w:firstLine="602" w:firstLineChars="200"/>
        <w:jc w:val="center"/>
        <w:rPr>
          <w:rFonts w:ascii="Times New Roman" w:hAnsi="Times New Roman"/>
          <w:b/>
          <w:sz w:val="30"/>
          <w:szCs w:val="30"/>
        </w:rPr>
      </w:pPr>
      <w:r>
        <w:rPr>
          <w:rFonts w:hint="eastAsia" w:ascii="Times New Roman" w:hAnsi="Times New Roman"/>
          <w:b/>
          <w:sz w:val="30"/>
          <w:szCs w:val="30"/>
        </w:rPr>
        <w:t>招标文件</w:t>
      </w:r>
    </w:p>
    <w:p>
      <w:pPr>
        <w:snapToGrid w:val="0"/>
        <w:spacing w:line="500" w:lineRule="exact"/>
        <w:ind w:firstLine="420" w:firstLineChars="200"/>
        <w:rPr>
          <w:rFonts w:ascii="宋体" w:hAnsi="宋体"/>
          <w:szCs w:val="21"/>
        </w:rPr>
      </w:pPr>
      <w:r>
        <w:rPr>
          <w:rFonts w:hint="eastAsia" w:ascii="宋体" w:hAnsi="宋体"/>
          <w:szCs w:val="21"/>
        </w:rPr>
        <w:t>我集团公司拟采购一批办公设备，具体采购信息公布如下：</w:t>
      </w:r>
    </w:p>
    <w:p>
      <w:pPr>
        <w:snapToGrid w:val="0"/>
        <w:spacing w:line="440" w:lineRule="exact"/>
        <w:ind w:firstLine="422" w:firstLineChars="200"/>
        <w:rPr>
          <w:rFonts w:ascii="宋体" w:hAnsi="宋体" w:cs="Arial"/>
          <w:b/>
          <w:szCs w:val="21"/>
        </w:rPr>
      </w:pPr>
      <w:r>
        <w:rPr>
          <w:rFonts w:hint="eastAsia" w:ascii="宋体" w:hAnsi="宋体" w:cs="Arial"/>
          <w:b/>
          <w:szCs w:val="21"/>
        </w:rPr>
        <w:t>一、项目概况</w:t>
      </w:r>
    </w:p>
    <w:p>
      <w:pPr>
        <w:snapToGrid w:val="0"/>
        <w:spacing w:line="440" w:lineRule="exact"/>
        <w:ind w:firstLine="420" w:firstLineChars="200"/>
        <w:rPr>
          <w:rFonts w:ascii="宋体" w:hAnsi="宋体" w:cs="Times New Roman"/>
          <w:szCs w:val="21"/>
          <w:u w:val="single"/>
        </w:rPr>
      </w:pPr>
      <w:r>
        <w:rPr>
          <w:rFonts w:hint="eastAsia" w:ascii="宋体" w:hAnsi="宋体" w:cs="Arial"/>
          <w:szCs w:val="21"/>
        </w:rPr>
        <w:t>（一）项目名称:</w:t>
      </w:r>
      <w:r>
        <w:rPr>
          <w:rFonts w:hint="eastAsia" w:ascii="宋体" w:hAnsi="宋体"/>
          <w:szCs w:val="21"/>
        </w:rPr>
        <w:t xml:space="preserve"> 南宁交通投资集团有限责任公司2020年第二批办公设备采购</w:t>
      </w:r>
    </w:p>
    <w:p>
      <w:pPr>
        <w:snapToGrid w:val="0"/>
        <w:spacing w:line="440" w:lineRule="exact"/>
        <w:ind w:firstLine="420" w:firstLineChars="200"/>
        <w:rPr>
          <w:rFonts w:ascii="宋体" w:hAnsi="宋体" w:cs="Arial"/>
          <w:bCs/>
          <w:szCs w:val="21"/>
        </w:rPr>
      </w:pPr>
      <w:r>
        <w:rPr>
          <w:rFonts w:hint="eastAsia" w:ascii="宋体" w:hAnsi="宋体" w:cs="Arial"/>
          <w:bCs/>
          <w:szCs w:val="21"/>
        </w:rPr>
        <w:t>（二）项目编号：交投DEPBGSBCG-2020-12-002</w:t>
      </w:r>
    </w:p>
    <w:p>
      <w:pPr>
        <w:snapToGrid w:val="0"/>
        <w:spacing w:line="440" w:lineRule="exact"/>
        <w:ind w:firstLine="420" w:firstLineChars="200"/>
        <w:rPr>
          <w:rFonts w:ascii="宋体" w:hAnsi="宋体"/>
          <w:szCs w:val="21"/>
        </w:rPr>
      </w:pPr>
      <w:r>
        <w:rPr>
          <w:rFonts w:hint="eastAsia" w:ascii="宋体" w:hAnsi="宋体"/>
          <w:szCs w:val="21"/>
        </w:rPr>
        <w:t>（三）项目地点：南宁市青秀区站南东路2号</w:t>
      </w:r>
    </w:p>
    <w:p>
      <w:pPr>
        <w:snapToGrid w:val="0"/>
        <w:spacing w:line="440" w:lineRule="exact"/>
        <w:ind w:firstLine="420" w:firstLineChars="200"/>
        <w:rPr>
          <w:rFonts w:ascii="宋体" w:hAnsi="宋体" w:cs="Arial"/>
          <w:bCs/>
          <w:szCs w:val="21"/>
        </w:rPr>
      </w:pPr>
      <w:r>
        <w:rPr>
          <w:rFonts w:hint="eastAsia" w:cs="Arial"/>
          <w:szCs w:val="21"/>
        </w:rPr>
        <w:t>（四）采购内容：</w:t>
      </w:r>
      <w:r>
        <w:rPr>
          <w:rFonts w:hint="eastAsia" w:ascii="宋体" w:hAnsi="宋体"/>
          <w:szCs w:val="21"/>
        </w:rPr>
        <w:t>南宁交通投资集团有限责任公司2020年第二批办公设备采购</w:t>
      </w:r>
      <w:r>
        <w:rPr>
          <w:rFonts w:hint="eastAsia"/>
        </w:rPr>
        <w:t>。</w:t>
      </w:r>
    </w:p>
    <w:p>
      <w:pPr>
        <w:pStyle w:val="66"/>
        <w:spacing w:line="400" w:lineRule="exact"/>
        <w:ind w:firstLine="420" w:firstLineChars="200"/>
        <w:rPr>
          <w:bCs/>
          <w:sz w:val="21"/>
          <w:szCs w:val="21"/>
        </w:rPr>
      </w:pPr>
      <w:r>
        <w:rPr>
          <w:rFonts w:hint="eastAsia" w:cs="Arial"/>
          <w:sz w:val="21"/>
          <w:szCs w:val="21"/>
        </w:rPr>
        <w:t>（五）资金来源：自筹资金</w:t>
      </w:r>
    </w:p>
    <w:p>
      <w:pPr>
        <w:snapToGrid w:val="0"/>
        <w:spacing w:line="440" w:lineRule="exact"/>
        <w:ind w:firstLine="420" w:firstLineChars="200"/>
        <w:rPr>
          <w:rFonts w:ascii="宋体" w:hAnsi="宋体"/>
          <w:snapToGrid w:val="0"/>
          <w:szCs w:val="21"/>
        </w:rPr>
      </w:pPr>
      <w:r>
        <w:rPr>
          <w:rFonts w:hint="eastAsia" w:ascii="宋体" w:hAnsi="宋体" w:cs="Arial"/>
          <w:szCs w:val="21"/>
        </w:rPr>
        <w:t>（六）</w:t>
      </w:r>
      <w:r>
        <w:rPr>
          <w:rFonts w:hint="eastAsia" w:ascii="宋体" w:hAnsi="宋体"/>
          <w:szCs w:val="21"/>
        </w:rPr>
        <w:t>采购预算：</w:t>
      </w:r>
      <w:r>
        <w:rPr>
          <w:rFonts w:hint="eastAsia" w:ascii="宋体" w:hAnsi="宋体"/>
          <w:color w:val="FF0000"/>
          <w:szCs w:val="21"/>
        </w:rPr>
        <w:t>22.6</w:t>
      </w:r>
      <w:r>
        <w:rPr>
          <w:rFonts w:hint="eastAsia" w:ascii="宋体" w:hAnsi="宋体"/>
          <w:szCs w:val="21"/>
        </w:rPr>
        <w:t>万元（大写：</w:t>
      </w:r>
      <w:r>
        <w:rPr>
          <w:rFonts w:ascii="宋体" w:hAnsi="宋体" w:eastAsia="宋体" w:cs="宋体"/>
          <w:sz w:val="24"/>
          <w:szCs w:val="24"/>
        </w:rPr>
        <w:t>贰拾</w:t>
      </w:r>
      <w:r>
        <w:rPr>
          <w:rFonts w:hint="eastAsia" w:ascii="宋体" w:hAnsi="宋体" w:eastAsia="宋体" w:cs="宋体"/>
          <w:sz w:val="24"/>
          <w:szCs w:val="24"/>
        </w:rPr>
        <w:t>贰</w:t>
      </w:r>
      <w:r>
        <w:rPr>
          <w:rFonts w:ascii="宋体" w:hAnsi="宋体" w:eastAsia="宋体" w:cs="宋体"/>
          <w:sz w:val="24"/>
          <w:szCs w:val="24"/>
        </w:rPr>
        <w:t>万</w:t>
      </w:r>
      <w:r>
        <w:rPr>
          <w:rFonts w:hint="eastAsia" w:ascii="宋体" w:hAnsi="宋体" w:eastAsia="宋体" w:cs="宋体"/>
          <w:sz w:val="24"/>
          <w:szCs w:val="24"/>
        </w:rPr>
        <w:t>陆</w:t>
      </w:r>
      <w:r>
        <w:rPr>
          <w:rFonts w:ascii="宋体" w:hAnsi="宋体" w:eastAsia="宋体" w:cs="宋体"/>
          <w:sz w:val="24"/>
          <w:szCs w:val="24"/>
        </w:rPr>
        <w:t>仟元整</w:t>
      </w:r>
      <w:r>
        <w:rPr>
          <w:rFonts w:hint="eastAsia" w:ascii="宋体" w:hAnsi="宋体"/>
          <w:szCs w:val="21"/>
        </w:rPr>
        <w:t>）</w:t>
      </w:r>
    </w:p>
    <w:p>
      <w:pPr>
        <w:snapToGrid w:val="0"/>
        <w:spacing w:line="440" w:lineRule="exact"/>
        <w:ind w:firstLine="422" w:firstLineChars="200"/>
        <w:rPr>
          <w:rFonts w:ascii="宋体" w:hAnsi="宋体" w:cs="Arial"/>
          <w:b/>
          <w:bCs/>
          <w:szCs w:val="21"/>
        </w:rPr>
      </w:pPr>
      <w:r>
        <w:rPr>
          <w:rFonts w:hint="eastAsia" w:ascii="宋体" w:hAnsi="宋体" w:cs="Arial"/>
          <w:b/>
          <w:szCs w:val="21"/>
        </w:rPr>
        <w:t>二</w:t>
      </w:r>
      <w:r>
        <w:rPr>
          <w:rFonts w:hint="eastAsia" w:ascii="宋体" w:hAnsi="宋体" w:cs="Arial"/>
          <w:szCs w:val="21"/>
        </w:rPr>
        <w:t>、</w:t>
      </w:r>
      <w:r>
        <w:rPr>
          <w:rFonts w:hint="eastAsia" w:ascii="宋体" w:hAnsi="宋体" w:cs="Arial"/>
          <w:b/>
          <w:bCs/>
          <w:szCs w:val="21"/>
        </w:rPr>
        <w:t>合格投标人的资格要求</w:t>
      </w:r>
    </w:p>
    <w:p>
      <w:pPr>
        <w:snapToGrid w:val="0"/>
        <w:spacing w:line="440" w:lineRule="exact"/>
        <w:ind w:firstLine="420" w:firstLineChars="200"/>
        <w:rPr>
          <w:rFonts w:ascii="宋体" w:hAnsi="宋体" w:cs="Arial"/>
          <w:b/>
          <w:bCs/>
          <w:szCs w:val="21"/>
        </w:rPr>
      </w:pPr>
      <w:r>
        <w:rPr>
          <w:rFonts w:hint="eastAsia" w:ascii="宋体" w:hAnsi="宋体"/>
          <w:szCs w:val="21"/>
        </w:rPr>
        <w:t>（一）具有国内法人资格，注册经营范围满足所采购内容的供应商；</w:t>
      </w:r>
    </w:p>
    <w:p>
      <w:pPr>
        <w:snapToGrid w:val="0"/>
        <w:spacing w:line="440" w:lineRule="exact"/>
        <w:ind w:firstLine="420" w:firstLineChars="200"/>
        <w:rPr>
          <w:rFonts w:ascii="宋体" w:hAnsi="宋体" w:cs="Times New Roman"/>
          <w:szCs w:val="21"/>
        </w:rPr>
      </w:pPr>
      <w:r>
        <w:rPr>
          <w:rFonts w:hint="eastAsia" w:ascii="宋体" w:hAnsi="宋体"/>
          <w:szCs w:val="21"/>
        </w:rPr>
        <w:t>（二）本次招标不接受联合体投标。</w:t>
      </w:r>
    </w:p>
    <w:p>
      <w:pPr>
        <w:spacing w:line="440" w:lineRule="exact"/>
        <w:ind w:firstLine="422" w:firstLineChars="200"/>
        <w:rPr>
          <w:rFonts w:ascii="宋体" w:hAnsi="宋体" w:cs="Arial"/>
          <w:b/>
          <w:szCs w:val="21"/>
        </w:rPr>
      </w:pPr>
      <w:r>
        <w:rPr>
          <w:rFonts w:hint="eastAsia" w:ascii="宋体" w:hAnsi="宋体" w:cs="Arial"/>
          <w:b/>
          <w:bCs/>
          <w:szCs w:val="21"/>
        </w:rPr>
        <w:t>三</w:t>
      </w:r>
      <w:r>
        <w:rPr>
          <w:rFonts w:hint="eastAsia" w:ascii="宋体" w:hAnsi="宋体" w:cs="Arial"/>
          <w:b/>
          <w:szCs w:val="21"/>
        </w:rPr>
        <w:t>、报名和购买相关文件时间及地点</w:t>
      </w:r>
    </w:p>
    <w:p>
      <w:pPr>
        <w:snapToGrid w:val="0"/>
        <w:spacing w:line="500" w:lineRule="exact"/>
        <w:ind w:firstLine="420" w:firstLineChars="200"/>
        <w:rPr>
          <w:rFonts w:ascii="宋体" w:hAnsi="宋体" w:cs="宋体"/>
          <w:kern w:val="0"/>
          <w:szCs w:val="21"/>
        </w:rPr>
      </w:pPr>
      <w:bookmarkStart w:id="2" w:name="_Toc368940549"/>
      <w:bookmarkStart w:id="3" w:name="_Toc373478081"/>
      <w:bookmarkStart w:id="4" w:name="_Toc368930118"/>
      <w:bookmarkStart w:id="5" w:name="_Toc373227432"/>
      <w:bookmarkStart w:id="6" w:name="_Toc368945409"/>
      <w:bookmarkStart w:id="7" w:name="_Toc368939782"/>
      <w:r>
        <w:rPr>
          <w:rFonts w:hint="eastAsia" w:ascii="宋体" w:hAnsi="宋体" w:cs="宋体"/>
          <w:kern w:val="0"/>
          <w:szCs w:val="21"/>
        </w:rPr>
        <w:t>（一）凡有意参加投标者，请于2020年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16</w:t>
      </w:r>
      <w:r>
        <w:rPr>
          <w:rFonts w:hint="eastAsia" w:ascii="宋体" w:hAnsi="宋体" w:cs="宋体"/>
          <w:kern w:val="0"/>
          <w:szCs w:val="21"/>
        </w:rPr>
        <w:t>日 9时至2020年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17时（法定公休日、法定节假日除外）到南宁交通投资集团有限责任公司报名。报名领取文件所需材料：营业执照副本复印件、法人委托书原件、法人身份证复印件和受托人身份证复印件。（复印件加盖公章，原件核查）。</w:t>
      </w:r>
    </w:p>
    <w:p>
      <w:pPr>
        <w:spacing w:line="440" w:lineRule="exact"/>
        <w:ind w:firstLine="422" w:firstLineChars="200"/>
        <w:rPr>
          <w:rFonts w:ascii="宋体" w:hAnsi="宋体" w:cs="Times New Roman"/>
          <w:b/>
          <w:szCs w:val="21"/>
        </w:rPr>
      </w:pPr>
      <w:r>
        <w:rPr>
          <w:rFonts w:hint="eastAsia" w:ascii="宋体" w:hAnsi="宋体"/>
          <w:b/>
          <w:szCs w:val="21"/>
        </w:rPr>
        <w:t>四、投标文件的递交</w:t>
      </w:r>
      <w:bookmarkEnd w:id="2"/>
      <w:bookmarkEnd w:id="3"/>
      <w:bookmarkEnd w:id="4"/>
      <w:bookmarkEnd w:id="5"/>
      <w:bookmarkEnd w:id="6"/>
      <w:bookmarkEnd w:id="7"/>
    </w:p>
    <w:p>
      <w:pPr>
        <w:spacing w:line="440" w:lineRule="exact"/>
        <w:ind w:firstLine="420" w:firstLineChars="200"/>
        <w:rPr>
          <w:rFonts w:ascii="宋体" w:hAnsi="宋体"/>
          <w:szCs w:val="21"/>
        </w:rPr>
      </w:pPr>
      <w:r>
        <w:rPr>
          <w:rFonts w:hint="eastAsia" w:ascii="宋体" w:hAnsi="宋体"/>
          <w:szCs w:val="21"/>
        </w:rPr>
        <w:t>（一）投标文件递交的截止时间（投标截止时间，下同）为</w:t>
      </w:r>
      <w:r>
        <w:rPr>
          <w:rFonts w:hint="eastAsia" w:ascii="宋体" w:hAnsi="宋体"/>
          <w:szCs w:val="21"/>
          <w:u w:val="single"/>
        </w:rPr>
        <w:t xml:space="preserve"> 2020</w:t>
      </w:r>
      <w:r>
        <w:rPr>
          <w:rFonts w:hint="eastAsia" w:ascii="宋体" w:hAnsi="宋体"/>
          <w:szCs w:val="21"/>
        </w:rPr>
        <w:t>年</w:t>
      </w:r>
      <w:r>
        <w:rPr>
          <w:rFonts w:hint="eastAsia" w:hAnsi="宋体"/>
          <w:szCs w:val="21"/>
          <w:u w:val="single"/>
          <w:lang w:val="en-US" w:eastAsia="zh-CN"/>
        </w:rPr>
        <w:t>12</w:t>
      </w:r>
      <w:r>
        <w:rPr>
          <w:rFonts w:hint="eastAsia" w:hAnsi="宋体"/>
          <w:szCs w:val="21"/>
        </w:rPr>
        <w:t>月</w:t>
      </w:r>
      <w:r>
        <w:rPr>
          <w:rFonts w:hint="eastAsia" w:hAnsi="宋体"/>
          <w:szCs w:val="21"/>
          <w:u w:val="single"/>
          <w:lang w:val="en-US" w:eastAsia="zh-CN"/>
        </w:rPr>
        <w:t>21</w:t>
      </w:r>
      <w:r>
        <w:rPr>
          <w:rFonts w:hint="eastAsia" w:hAnsi="宋体"/>
          <w:szCs w:val="21"/>
        </w:rPr>
        <w:t>日</w:t>
      </w:r>
      <w:r>
        <w:rPr>
          <w:rFonts w:hint="eastAsia" w:hAnsi="宋体"/>
          <w:szCs w:val="21"/>
          <w:lang w:val="en-US" w:eastAsia="zh-CN"/>
        </w:rPr>
        <w:t>下</w:t>
      </w:r>
      <w:r>
        <w:rPr>
          <w:rFonts w:hint="eastAsia" w:ascii="宋体" w:hAnsi="宋体"/>
          <w:szCs w:val="21"/>
        </w:rPr>
        <w:t>午</w:t>
      </w:r>
      <w:r>
        <w:rPr>
          <w:rFonts w:hint="eastAsia" w:ascii="宋体" w:hAnsi="宋体"/>
          <w:szCs w:val="21"/>
          <w:u w:val="single"/>
        </w:rPr>
        <w:t xml:space="preserve"> </w:t>
      </w:r>
      <w:r>
        <w:rPr>
          <w:rFonts w:hint="eastAsia" w:ascii="宋体" w:hAnsi="宋体"/>
          <w:szCs w:val="21"/>
          <w:u w:val="single"/>
          <w:lang w:val="en-US" w:eastAsia="zh-CN"/>
        </w:rPr>
        <w:t>16</w:t>
      </w:r>
      <w:r>
        <w:rPr>
          <w:rFonts w:hint="eastAsia" w:ascii="宋体" w:hAnsi="宋体"/>
          <w:szCs w:val="21"/>
        </w:rPr>
        <w:t>时</w:t>
      </w:r>
      <w:r>
        <w:rPr>
          <w:rFonts w:hint="eastAsia" w:ascii="宋体" w:hAnsi="宋体"/>
          <w:szCs w:val="21"/>
          <w:u w:val="single"/>
        </w:rPr>
        <w:t>00</w:t>
      </w:r>
      <w:r>
        <w:rPr>
          <w:rFonts w:hint="eastAsia" w:ascii="宋体" w:hAnsi="宋体"/>
          <w:szCs w:val="21"/>
        </w:rPr>
        <w:t>分，地点为:南宁市青秀区站南东路2号</w:t>
      </w:r>
      <w:r>
        <w:rPr>
          <w:rFonts w:hint="eastAsia" w:ascii="宋体" w:hAnsi="宋体" w:cs="宋体"/>
          <w:kern w:val="0"/>
          <w:szCs w:val="21"/>
        </w:rPr>
        <w:t>南宁交通投资集团有限责任公司20楼会议室</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（二）逾期送达的或者未送达指定地点或者不按照招标文件要求密封的投标文件，采购人不予受理。</w:t>
      </w:r>
    </w:p>
    <w:p>
      <w:pPr>
        <w:spacing w:line="440" w:lineRule="exact"/>
        <w:ind w:firstLine="422" w:firstLineChars="200"/>
        <w:rPr>
          <w:rFonts w:ascii="宋体" w:hAnsi="宋体"/>
          <w:b/>
          <w:szCs w:val="21"/>
        </w:rPr>
      </w:pPr>
      <w:r>
        <w:rPr>
          <w:rFonts w:hint="eastAsia" w:ascii="宋体" w:hAnsi="宋体"/>
          <w:b/>
          <w:szCs w:val="21"/>
        </w:rPr>
        <w:t>五、投标保证金</w:t>
      </w:r>
    </w:p>
    <w:p>
      <w:pPr>
        <w:ind w:firstLine="420" w:firstLineChars="200"/>
      </w:pPr>
      <w:r>
        <w:rPr>
          <w:rFonts w:hint="eastAsia"/>
          <w:szCs w:val="21"/>
        </w:rPr>
        <w:t>投标保证金的形式：</w:t>
      </w:r>
      <w:r>
        <w:rPr>
          <w:rFonts w:hint="eastAsia" w:hAnsi="宋体"/>
          <w:szCs w:val="21"/>
        </w:rPr>
        <w:t>银行转账</w:t>
      </w:r>
    </w:p>
    <w:p>
      <w:pPr>
        <w:ind w:firstLine="420" w:firstLineChars="200"/>
        <w:rPr>
          <w:szCs w:val="21"/>
        </w:rPr>
      </w:pPr>
      <w:r>
        <w:rPr>
          <w:rFonts w:hint="eastAsia"/>
          <w:szCs w:val="21"/>
        </w:rPr>
        <w:t>投标保证金的金额：</w:t>
      </w:r>
      <w:r>
        <w:rPr>
          <w:szCs w:val="21"/>
          <w:u w:val="single"/>
        </w:rPr>
        <w:t xml:space="preserve"> </w:t>
      </w:r>
      <w:r>
        <w:rPr>
          <w:rFonts w:hint="eastAsia"/>
          <w:szCs w:val="21"/>
          <w:u w:val="single"/>
        </w:rPr>
        <w:t>5000</w:t>
      </w:r>
      <w:r>
        <w:rPr>
          <w:rFonts w:hint="eastAsia"/>
          <w:szCs w:val="21"/>
        </w:rPr>
        <w:t>元（大写：伍仟元整）</w:t>
      </w:r>
    </w:p>
    <w:p>
      <w:pPr>
        <w:ind w:firstLine="420" w:firstLineChars="200"/>
        <w:rPr>
          <w:szCs w:val="21"/>
        </w:rPr>
      </w:pPr>
      <w:r>
        <w:rPr>
          <w:rFonts w:hint="eastAsia"/>
          <w:szCs w:val="21"/>
        </w:rPr>
        <w:t>递交方式：采用</w:t>
      </w:r>
      <w:r>
        <w:rPr>
          <w:rFonts w:hint="eastAsia" w:hAnsi="宋体"/>
          <w:szCs w:val="21"/>
        </w:rPr>
        <w:t>银行转账</w:t>
      </w:r>
      <w:r>
        <w:rPr>
          <w:rFonts w:hint="eastAsia"/>
          <w:szCs w:val="21"/>
        </w:rPr>
        <w:t>方式，必须从投标人的基本账户转账到以下指定的投标保证金专用账户</w:t>
      </w:r>
      <w:r>
        <w:rPr>
          <w:rFonts w:hint="eastAsia" w:hAnsi="宋体"/>
        </w:rPr>
        <w:t>（以到账时间为准）</w:t>
      </w:r>
      <w:r>
        <w:rPr>
          <w:rFonts w:hint="eastAsia"/>
          <w:szCs w:val="21"/>
        </w:rPr>
        <w:t>。</w:t>
      </w:r>
    </w:p>
    <w:p>
      <w:pPr>
        <w:ind w:firstLine="420" w:firstLineChars="200"/>
        <w:rPr>
          <w:szCs w:val="21"/>
        </w:rPr>
      </w:pPr>
      <w:r>
        <w:rPr>
          <w:rFonts w:hint="eastAsia"/>
          <w:szCs w:val="21"/>
        </w:rPr>
        <w:t>账户名称：</w:t>
      </w:r>
      <w:r>
        <w:rPr>
          <w:rFonts w:hint="eastAsia" w:hAnsi="宋体"/>
          <w:b/>
          <w:szCs w:val="21"/>
        </w:rPr>
        <w:t>南宁交通投资集团有限责任公司</w:t>
      </w:r>
    </w:p>
    <w:p>
      <w:pPr>
        <w:ind w:firstLine="420" w:firstLineChars="200"/>
        <w:rPr>
          <w:szCs w:val="21"/>
        </w:rPr>
      </w:pPr>
      <w:r>
        <w:rPr>
          <w:rFonts w:hint="eastAsia"/>
          <w:szCs w:val="21"/>
        </w:rPr>
        <w:t>开户银行：工行南宁新城支行</w:t>
      </w:r>
    </w:p>
    <w:p>
      <w:pPr>
        <w:ind w:firstLine="420" w:firstLineChars="200"/>
        <w:rPr>
          <w:rFonts w:ascii="宋体" w:hAnsi="宋体"/>
          <w:szCs w:val="21"/>
        </w:rPr>
      </w:pPr>
      <w:r>
        <w:rPr>
          <w:rFonts w:hint="eastAsia"/>
          <w:szCs w:val="21"/>
        </w:rPr>
        <w:t>银行账号：2102103019300163393</w:t>
      </w:r>
    </w:p>
    <w:p>
      <w:pPr>
        <w:spacing w:line="440" w:lineRule="exact"/>
        <w:ind w:firstLine="422" w:firstLineChars="200"/>
        <w:rPr>
          <w:rFonts w:ascii="宋体" w:hAnsi="宋体"/>
          <w:b/>
          <w:szCs w:val="21"/>
        </w:rPr>
      </w:pPr>
      <w:r>
        <w:rPr>
          <w:rFonts w:hint="eastAsia" w:ascii="宋体" w:hAnsi="宋体"/>
          <w:b/>
          <w:szCs w:val="21"/>
        </w:rPr>
        <w:t>六、开标时间及地点</w:t>
      </w:r>
    </w:p>
    <w:p>
      <w:pPr>
        <w:spacing w:line="440" w:lineRule="exact"/>
        <w:ind w:firstLine="420" w:firstLineChars="200"/>
        <w:rPr>
          <w:rFonts w:ascii="宋体" w:hAnsi="宋体"/>
          <w:szCs w:val="21"/>
        </w:rPr>
      </w:pPr>
      <w:r>
        <w:rPr>
          <w:rFonts w:hint="eastAsia" w:ascii="宋体" w:hAnsi="宋体"/>
          <w:szCs w:val="21"/>
          <w:u w:val="single"/>
        </w:rPr>
        <w:t>2020</w:t>
      </w:r>
      <w:r>
        <w:rPr>
          <w:rFonts w:hint="eastAsia" w:ascii="宋体" w:hAnsi="宋体"/>
          <w:szCs w:val="21"/>
        </w:rPr>
        <w:t>年</w:t>
      </w:r>
      <w:r>
        <w:rPr>
          <w:rFonts w:hint="eastAsia" w:ascii="宋体" w:hAnsi="宋体"/>
          <w:szCs w:val="21"/>
          <w:lang w:val="en-US" w:eastAsia="zh-CN"/>
        </w:rPr>
        <w:t>12</w:t>
      </w:r>
      <w:r>
        <w:rPr>
          <w:rFonts w:hint="eastAsia" w:hAnsi="宋体"/>
          <w:szCs w:val="21"/>
        </w:rPr>
        <w:t>月</w:t>
      </w:r>
      <w:r>
        <w:rPr>
          <w:rFonts w:hint="eastAsia" w:hAnsi="宋体"/>
          <w:szCs w:val="21"/>
          <w:lang w:val="en-US" w:eastAsia="zh-CN"/>
        </w:rPr>
        <w:t>21</w:t>
      </w:r>
      <w:r>
        <w:rPr>
          <w:rFonts w:hint="eastAsia" w:hAnsi="宋体"/>
          <w:szCs w:val="21"/>
        </w:rPr>
        <w:t>日</w:t>
      </w:r>
      <w:r>
        <w:rPr>
          <w:rFonts w:hint="eastAsia" w:ascii="宋体" w:hAnsi="宋体"/>
          <w:szCs w:val="21"/>
          <w:u w:val="single"/>
        </w:rPr>
        <w:t xml:space="preserve"> </w:t>
      </w:r>
      <w:r>
        <w:rPr>
          <w:rFonts w:hint="eastAsia" w:hAnsi="宋体"/>
          <w:szCs w:val="21"/>
          <w:lang w:val="en-US" w:eastAsia="zh-CN"/>
        </w:rPr>
        <w:t>下</w:t>
      </w:r>
      <w:r>
        <w:rPr>
          <w:rFonts w:hint="eastAsia" w:ascii="宋体" w:hAnsi="宋体"/>
          <w:szCs w:val="21"/>
        </w:rPr>
        <w:t>午</w:t>
      </w:r>
      <w:r>
        <w:rPr>
          <w:rFonts w:hint="eastAsia" w:ascii="宋体" w:hAnsi="宋体"/>
          <w:szCs w:val="21"/>
          <w:u w:val="single"/>
        </w:rPr>
        <w:t xml:space="preserve"> </w:t>
      </w:r>
      <w:r>
        <w:rPr>
          <w:rFonts w:hint="eastAsia" w:ascii="宋体" w:hAnsi="宋体"/>
          <w:szCs w:val="21"/>
          <w:u w:val="single"/>
          <w:lang w:val="en-US" w:eastAsia="zh-CN"/>
        </w:rPr>
        <w:t>16</w:t>
      </w:r>
      <w:r>
        <w:rPr>
          <w:rFonts w:hint="eastAsia" w:ascii="宋体" w:hAnsi="宋体"/>
          <w:szCs w:val="21"/>
        </w:rPr>
        <w:t>时</w:t>
      </w:r>
      <w:r>
        <w:rPr>
          <w:rFonts w:hint="eastAsia" w:ascii="宋体" w:hAnsi="宋体"/>
          <w:szCs w:val="21"/>
          <w:u w:val="single"/>
        </w:rPr>
        <w:t>00</w:t>
      </w:r>
      <w:r>
        <w:rPr>
          <w:rFonts w:hint="eastAsia" w:ascii="宋体" w:hAnsi="宋体"/>
          <w:szCs w:val="21"/>
        </w:rPr>
        <w:t>分开标，地点为南宁市青秀区站南东路2号</w:t>
      </w:r>
      <w:r>
        <w:rPr>
          <w:rFonts w:hint="eastAsia" w:ascii="宋体" w:hAnsi="宋体" w:cs="宋体"/>
          <w:kern w:val="0"/>
          <w:szCs w:val="21"/>
        </w:rPr>
        <w:t>南宁交通投资集团有限责任公司20楼会议室</w:t>
      </w:r>
      <w:r>
        <w:rPr>
          <w:rFonts w:hint="eastAsia" w:ascii="宋体" w:hAnsi="宋体"/>
          <w:szCs w:val="21"/>
        </w:rPr>
        <w:t>。</w:t>
      </w:r>
    </w:p>
    <w:p>
      <w:pPr>
        <w:snapToGrid w:val="0"/>
        <w:spacing w:line="440" w:lineRule="exact"/>
        <w:ind w:firstLine="422" w:firstLineChars="200"/>
        <w:rPr>
          <w:rFonts w:ascii="宋体" w:hAnsi="宋体" w:cs="Arial"/>
          <w:b/>
          <w:szCs w:val="21"/>
        </w:rPr>
      </w:pPr>
      <w:r>
        <w:rPr>
          <w:rFonts w:hint="eastAsia" w:ascii="宋体" w:hAnsi="宋体" w:cs="Arial"/>
          <w:b/>
          <w:szCs w:val="21"/>
        </w:rPr>
        <w:t>七、发布公告媒介：</w:t>
      </w:r>
    </w:p>
    <w:p>
      <w:pPr>
        <w:adjustRightInd w:val="0"/>
        <w:snapToGrid w:val="0"/>
        <w:spacing w:line="440" w:lineRule="exact"/>
        <w:ind w:firstLine="420" w:firstLineChars="200"/>
        <w:rPr>
          <w:rFonts w:ascii="宋体" w:hAnsi="宋体" w:cs="Times New Roman"/>
          <w:szCs w:val="21"/>
        </w:rPr>
      </w:pPr>
      <w:r>
        <w:rPr>
          <w:rFonts w:hint="eastAsia" w:ascii="宋体" w:hAnsi="宋体"/>
          <w:szCs w:val="21"/>
        </w:rPr>
        <w:t>有关本次采购事务若存在变动和修改，敬请持续关注南宁交通投资集团有限责任公司官网（http://www.nnjtjt.com/）的“信息公告”栏目。</w:t>
      </w:r>
    </w:p>
    <w:p>
      <w:pPr>
        <w:snapToGrid w:val="0"/>
        <w:spacing w:line="440" w:lineRule="exact"/>
        <w:ind w:firstLine="422" w:firstLineChars="200"/>
        <w:rPr>
          <w:rFonts w:ascii="宋体" w:hAnsi="宋体" w:cs="Arial"/>
          <w:b/>
          <w:szCs w:val="21"/>
        </w:rPr>
      </w:pPr>
      <w:r>
        <w:rPr>
          <w:rFonts w:hint="eastAsia" w:ascii="宋体" w:hAnsi="宋体" w:cs="Arial"/>
          <w:b/>
          <w:szCs w:val="21"/>
        </w:rPr>
        <w:t>八、联系方式：</w:t>
      </w:r>
    </w:p>
    <w:p>
      <w:pPr>
        <w:snapToGrid w:val="0"/>
        <w:spacing w:line="440" w:lineRule="exact"/>
        <w:ind w:firstLine="420" w:firstLineChars="200"/>
        <w:rPr>
          <w:rFonts w:ascii="Times New Roman" w:hAnsi="宋体" w:cs="Times New Roman"/>
          <w:szCs w:val="24"/>
        </w:rPr>
      </w:pPr>
      <w:r>
        <w:rPr>
          <w:rFonts w:hint="eastAsia" w:ascii="宋体" w:hAnsi="宋体"/>
          <w:szCs w:val="21"/>
        </w:rPr>
        <w:t>采购人：</w:t>
      </w:r>
      <w:r>
        <w:rPr>
          <w:rFonts w:hint="eastAsia" w:hAnsi="宋体"/>
        </w:rPr>
        <w:t>南宁交通投资集团有限责任公司</w:t>
      </w:r>
    </w:p>
    <w:p>
      <w:pPr>
        <w:snapToGrid w:val="0"/>
        <w:spacing w:line="440" w:lineRule="exact"/>
        <w:ind w:firstLine="420" w:firstLineChars="200"/>
        <w:rPr>
          <w:rFonts w:ascii="宋体" w:hAnsi="宋体"/>
          <w:szCs w:val="21"/>
        </w:rPr>
      </w:pPr>
      <w:r>
        <w:rPr>
          <w:rFonts w:hint="eastAsia" w:hAnsi="宋体"/>
        </w:rPr>
        <w:t>地址：</w:t>
      </w:r>
      <w:r>
        <w:rPr>
          <w:rFonts w:hint="eastAsia" w:ascii="宋体" w:hAnsi="宋体"/>
          <w:szCs w:val="21"/>
        </w:rPr>
        <w:t>南宁市青秀区站南东路2号</w:t>
      </w:r>
    </w:p>
    <w:p>
      <w:pPr>
        <w:snapToGrid w:val="0"/>
        <w:spacing w:line="440" w:lineRule="exact"/>
        <w:ind w:firstLine="420" w:firstLineChars="200"/>
        <w:rPr>
          <w:rFonts w:hAnsi="宋体"/>
        </w:rPr>
      </w:pPr>
      <w:r>
        <w:rPr>
          <w:rFonts w:hint="eastAsia" w:hAnsi="宋体"/>
        </w:rPr>
        <w:t>联系人：孙工</w:t>
      </w:r>
    </w:p>
    <w:p>
      <w:pPr>
        <w:snapToGrid w:val="0"/>
        <w:spacing w:line="440" w:lineRule="exact"/>
        <w:ind w:firstLine="420" w:firstLineChars="200"/>
        <w:rPr>
          <w:rFonts w:hAnsi="宋体"/>
        </w:rPr>
      </w:pPr>
      <w:r>
        <w:rPr>
          <w:rFonts w:hint="eastAsia" w:hAnsi="宋体"/>
        </w:rPr>
        <w:t>联系电话：</w:t>
      </w:r>
      <w:r>
        <w:rPr>
          <w:rFonts w:hAnsi="宋体"/>
        </w:rPr>
        <w:t>0771-</w:t>
      </w:r>
      <w:r>
        <w:rPr>
          <w:rFonts w:hint="eastAsia" w:hAnsi="宋体"/>
        </w:rPr>
        <w:t>2805236</w:t>
      </w: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ind w:firstLine="7140" w:firstLineChars="3400"/>
        <w:rPr>
          <w:rFonts w:ascii="Times New Roman" w:hAnsi="Times New Roman"/>
          <w:szCs w:val="24"/>
        </w:rPr>
      </w:pPr>
      <w:r>
        <w:rPr>
          <w:rFonts w:hint="eastAsia" w:ascii="宋体" w:hAnsi="宋体"/>
          <w:szCs w:val="21"/>
        </w:rPr>
        <w:t>2020年12</w:t>
      </w:r>
      <w:r>
        <w:rPr>
          <w:rFonts w:hAnsi="宋体"/>
          <w:szCs w:val="21"/>
          <w:u w:val="single"/>
        </w:rPr>
        <w:t xml:space="preserve"> </w:t>
      </w:r>
      <w:r>
        <w:rPr>
          <w:rFonts w:hint="eastAsia" w:ascii="宋体" w:hAnsi="宋体"/>
          <w:szCs w:val="21"/>
        </w:rPr>
        <w:t>月</w:t>
      </w:r>
    </w:p>
    <w:p>
      <w:pPr>
        <w:snapToGrid w:val="0"/>
        <w:spacing w:line="500" w:lineRule="exact"/>
        <w:ind w:left="238"/>
        <w:jc w:val="center"/>
        <w:rPr>
          <w:rFonts w:ascii="宋体" w:hAnsi="宋体"/>
          <w:sz w:val="28"/>
          <w:szCs w:val="28"/>
        </w:rPr>
      </w:pPr>
    </w:p>
    <w:p>
      <w:pPr>
        <w:snapToGrid w:val="0"/>
        <w:spacing w:line="500" w:lineRule="exact"/>
        <w:ind w:left="238"/>
        <w:jc w:val="center"/>
        <w:rPr>
          <w:rFonts w:ascii="宋体" w:hAnsi="宋体"/>
          <w:sz w:val="28"/>
          <w:szCs w:val="28"/>
        </w:rPr>
      </w:pPr>
    </w:p>
    <w:p>
      <w:pPr>
        <w:pStyle w:val="9"/>
        <w:jc w:val="center"/>
        <w:outlineLvl w:val="0"/>
        <w:rPr>
          <w:rFonts w:ascii="Times New Roman" w:hAnsi="Times New Roman"/>
          <w:b/>
          <w:sz w:val="36"/>
        </w:rPr>
      </w:pPr>
      <w:r>
        <w:rPr>
          <w:b/>
          <w:sz w:val="36"/>
        </w:rPr>
        <w:br w:type="page"/>
      </w:r>
      <w:bookmarkStart w:id="8" w:name="_Toc503169365"/>
      <w:r>
        <w:rPr>
          <w:rFonts w:hint="eastAsia" w:ascii="Times New Roman" w:hAnsi="Times New Roman"/>
          <w:b/>
          <w:sz w:val="36"/>
        </w:rPr>
        <w:t>第二章货物需求一览表</w:t>
      </w:r>
      <w:bookmarkEnd w:id="8"/>
    </w:p>
    <w:p>
      <w:pPr>
        <w:adjustRightInd w:val="0"/>
        <w:spacing w:line="340" w:lineRule="exact"/>
        <w:rPr>
          <w:rFonts w:hAnsi="宋体"/>
          <w:b/>
          <w:szCs w:val="21"/>
        </w:rPr>
      </w:pPr>
    </w:p>
    <w:p>
      <w:pPr>
        <w:adjustRightInd w:val="0"/>
        <w:spacing w:line="340" w:lineRule="exact"/>
        <w:rPr>
          <w:rFonts w:hAnsi="宋体"/>
          <w:b/>
          <w:szCs w:val="21"/>
        </w:rPr>
      </w:pPr>
      <w:r>
        <w:rPr>
          <w:rFonts w:hint="eastAsia" w:hAnsi="宋体"/>
          <w:b/>
          <w:szCs w:val="21"/>
        </w:rPr>
        <w:t>说明：</w:t>
      </w:r>
    </w:p>
    <w:p>
      <w:pPr>
        <w:adjustRightInd w:val="0"/>
        <w:spacing w:line="340" w:lineRule="exact"/>
        <w:ind w:left="6" w:firstLine="431"/>
        <w:rPr>
          <w:rFonts w:ascii="宋体" w:hAnsi="宋体"/>
        </w:rPr>
      </w:pPr>
      <w:r>
        <w:rPr>
          <w:rFonts w:hint="eastAsia" w:ascii="宋体" w:hAnsi="宋体"/>
        </w:rPr>
        <w:t>1、</w:t>
      </w:r>
      <w:r>
        <w:rPr>
          <w:rFonts w:hint="eastAsia" w:hAnsi="宋体"/>
          <w:szCs w:val="21"/>
        </w:rPr>
        <w:t>本货物需求一览表中所列的品牌、型号</w:t>
      </w:r>
      <w:r>
        <w:rPr>
          <w:rFonts w:hint="eastAsia" w:hAnsi="宋体"/>
          <w:b/>
          <w:szCs w:val="21"/>
        </w:rPr>
        <w:t>仅起参考作</w:t>
      </w:r>
      <w:r>
        <w:rPr>
          <w:rFonts w:hint="eastAsia" w:hAnsi="宋体"/>
          <w:szCs w:val="21"/>
        </w:rPr>
        <w:t>用，投标人可选用其他品牌、型号替代，但替代的品牌、型号在实质性要求和条件上要</w:t>
      </w:r>
      <w:r>
        <w:rPr>
          <w:rFonts w:hint="eastAsia" w:hAnsi="宋体"/>
          <w:b/>
          <w:szCs w:val="21"/>
        </w:rPr>
        <w:t>相当于或优于</w:t>
      </w:r>
      <w:r>
        <w:rPr>
          <w:rFonts w:hint="eastAsia" w:hAnsi="宋体"/>
          <w:szCs w:val="21"/>
        </w:rPr>
        <w:t>参考品牌、型号。</w:t>
      </w:r>
    </w:p>
    <w:p>
      <w:pPr>
        <w:spacing w:line="320" w:lineRule="exact"/>
        <w:ind w:firstLine="420" w:firstLineChars="200"/>
        <w:rPr>
          <w:rFonts w:ascii="宋体" w:hAnsi="宋体"/>
        </w:rPr>
      </w:pPr>
      <w:r>
        <w:rPr>
          <w:rFonts w:hint="eastAsia" w:ascii="宋体" w:hAnsi="宋体"/>
        </w:rPr>
        <w:t>2、凡在“技术参数要求”中表述为“标配”或“标准配置”的设备，投标人应按第五章“投标文件格式”规定的格式在“投标产品技术资料表”中将其参数详细列明。</w:t>
      </w:r>
    </w:p>
    <w:p>
      <w:pPr>
        <w:spacing w:line="320" w:lineRule="exact"/>
        <w:ind w:firstLine="420" w:firstLineChars="200"/>
        <w:rPr>
          <w:rFonts w:ascii="宋体" w:hAnsi="宋体"/>
        </w:rPr>
      </w:pPr>
      <w:r>
        <w:rPr>
          <w:rFonts w:hint="eastAsia" w:ascii="宋体" w:hAnsi="宋体"/>
        </w:rPr>
        <w:t>3、</w:t>
      </w:r>
      <w:r>
        <w:rPr>
          <w:rFonts w:hint="eastAsia" w:ascii="宋体" w:hAnsi="宋体"/>
          <w:b/>
        </w:rPr>
        <w:t>本货物需求一览表中“序号”栏的序号前标注▲号的为核心产品。</w:t>
      </w:r>
    </w:p>
    <w:p>
      <w:pPr>
        <w:spacing w:line="320" w:lineRule="exact"/>
        <w:ind w:firstLine="420" w:firstLineChars="200"/>
        <w:rPr>
          <w:shd w:val="clear" w:color="FFFFFF" w:fill="D9D9D9"/>
        </w:rPr>
      </w:pPr>
      <w:r>
        <w:rPr>
          <w:rFonts w:hint="eastAsia" w:ascii="宋体" w:hAnsi="宋体"/>
          <w:shd w:val="clear" w:color="FFFFFF" w:fill="D9D9D9"/>
        </w:rPr>
        <w:t>4、货物需求一览</w:t>
      </w:r>
      <w:r>
        <w:rPr>
          <w:rFonts w:hint="eastAsia"/>
          <w:shd w:val="clear" w:color="FFFFFF" w:fill="D9D9D9"/>
        </w:rPr>
        <w:t>表如下：</w:t>
      </w:r>
    </w:p>
    <w:tbl>
      <w:tblPr>
        <w:tblStyle w:val="21"/>
        <w:tblW w:w="9209" w:type="dxa"/>
        <w:tblInd w:w="113" w:type="dxa"/>
        <w:tblLayout w:type="fixed"/>
        <w:tblCellMar>
          <w:top w:w="0" w:type="dxa"/>
          <w:left w:w="108" w:type="dxa"/>
          <w:bottom w:w="0" w:type="dxa"/>
          <w:right w:w="108" w:type="dxa"/>
        </w:tblCellMar>
      </w:tblPr>
      <w:tblGrid>
        <w:gridCol w:w="560"/>
        <w:gridCol w:w="973"/>
        <w:gridCol w:w="567"/>
        <w:gridCol w:w="1275"/>
        <w:gridCol w:w="4702"/>
        <w:gridCol w:w="1132"/>
      </w:tblGrid>
      <w:tr>
        <w:tblPrEx>
          <w:tblCellMar>
            <w:top w:w="0" w:type="dxa"/>
            <w:left w:w="108" w:type="dxa"/>
            <w:bottom w:w="0" w:type="dxa"/>
            <w:right w:w="108" w:type="dxa"/>
          </w:tblCellMar>
        </w:tblPrEx>
        <w:trPr>
          <w:trHeight w:val="300" w:hRule="atLeast"/>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9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货物名称</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预算单价（元）</w:t>
            </w:r>
          </w:p>
        </w:tc>
        <w:tc>
          <w:tcPr>
            <w:tcW w:w="4702"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技术参数要求</w:t>
            </w:r>
          </w:p>
        </w:tc>
        <w:tc>
          <w:tcPr>
            <w:tcW w:w="113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参考品牌</w:t>
            </w:r>
          </w:p>
        </w:tc>
      </w:tr>
      <w:tr>
        <w:tblPrEx>
          <w:tblCellMar>
            <w:top w:w="0" w:type="dxa"/>
            <w:left w:w="108" w:type="dxa"/>
            <w:bottom w:w="0" w:type="dxa"/>
            <w:right w:w="108" w:type="dxa"/>
          </w:tblCellMar>
        </w:tblPrEx>
        <w:trPr>
          <w:trHeight w:val="3676"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台式电脑</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12250</w:t>
            </w:r>
          </w:p>
        </w:tc>
        <w:tc>
          <w:tcPr>
            <w:tcW w:w="4702" w:type="dxa"/>
            <w:tcBorders>
              <w:top w:val="nil"/>
              <w:left w:val="nil"/>
              <w:bottom w:val="single" w:color="000000" w:sz="4" w:space="0"/>
              <w:right w:val="single" w:color="000000" w:sz="4" w:space="0"/>
            </w:tcBorders>
            <w:shd w:val="clear" w:color="auto" w:fill="auto"/>
            <w:vAlign w:val="center"/>
          </w:tcPr>
          <w:p>
            <w:pPr>
              <w:jc w:val="left"/>
              <w:rPr>
                <w:rFonts w:ascii="Calibri" w:hAnsi="Calibri"/>
                <w:color w:val="auto"/>
              </w:rPr>
            </w:pPr>
            <w:r>
              <w:rPr>
                <w:rFonts w:hint="eastAsia" w:ascii="Calibri" w:hAnsi="Calibri"/>
                <w:color w:val="auto"/>
              </w:rPr>
              <w:t>1、品牌原装机型，非组装机。</w:t>
            </w:r>
          </w:p>
          <w:p>
            <w:pPr>
              <w:widowControl/>
              <w:jc w:val="left"/>
              <w:rPr>
                <w:rFonts w:ascii="Calibri" w:hAnsi="Calibri"/>
                <w:color w:val="auto"/>
              </w:rPr>
            </w:pPr>
            <w:r>
              <w:rPr>
                <w:rFonts w:ascii="宋体" w:hAnsi="宋体" w:eastAsia="宋体" w:cs="宋体"/>
                <w:color w:val="auto"/>
                <w:kern w:val="0"/>
                <w:sz w:val="20"/>
                <w:szCs w:val="20"/>
              </w:rPr>
              <w:t>2</w:t>
            </w:r>
            <w:r>
              <w:rPr>
                <w:rFonts w:hint="eastAsia" w:ascii="宋体" w:hAnsi="宋体" w:eastAsia="宋体" w:cs="宋体"/>
                <w:color w:val="auto"/>
                <w:kern w:val="0"/>
                <w:sz w:val="20"/>
                <w:szCs w:val="20"/>
              </w:rPr>
              <w:t>、</w:t>
            </w:r>
            <w:r>
              <w:rPr>
                <w:rFonts w:hint="eastAsia" w:ascii="Calibri" w:hAnsi="Calibri"/>
                <w:color w:val="auto"/>
              </w:rPr>
              <w:t>CPU：英特尔Intel酷睿i5-10500处理器（六核3.1GHz）或以上。</w:t>
            </w:r>
          </w:p>
          <w:p>
            <w:pPr>
              <w:widowControl/>
              <w:jc w:val="left"/>
              <w:rPr>
                <w:rFonts w:ascii="Calibri" w:hAnsi="Calibri"/>
                <w:color w:val="auto"/>
              </w:rPr>
            </w:pPr>
            <w:r>
              <w:rPr>
                <w:rFonts w:hint="eastAsia" w:ascii="Calibri" w:hAnsi="Calibri"/>
                <w:color w:val="auto"/>
              </w:rPr>
              <w:t>3、主板：Intel H470主板或以上。</w:t>
            </w:r>
          </w:p>
          <w:p>
            <w:pPr>
              <w:widowControl/>
              <w:jc w:val="left"/>
              <w:rPr>
                <w:rFonts w:ascii="Calibri" w:hAnsi="Calibri"/>
                <w:color w:val="FF0000"/>
              </w:rPr>
            </w:pPr>
            <w:r>
              <w:rPr>
                <w:rFonts w:hint="eastAsia" w:ascii="Calibri" w:hAnsi="Calibri"/>
                <w:color w:val="FF0000"/>
              </w:rPr>
              <w:t>4、内存：≥</w:t>
            </w:r>
            <w:r>
              <w:rPr>
                <w:rFonts w:hint="eastAsia" w:ascii="Calibri" w:hAnsi="Calibri"/>
                <w:color w:val="FF0000"/>
                <w:lang w:val="en-US" w:eastAsia="zh-CN"/>
              </w:rPr>
              <w:t>12</w:t>
            </w:r>
            <w:r>
              <w:rPr>
                <w:rFonts w:hint="eastAsia" w:ascii="Calibri" w:hAnsi="Calibri"/>
                <w:color w:val="FF0000"/>
              </w:rPr>
              <w:t>G DDR4内存。</w:t>
            </w:r>
          </w:p>
          <w:p>
            <w:pPr>
              <w:widowControl/>
              <w:jc w:val="left"/>
              <w:rPr>
                <w:rFonts w:ascii="Calibri" w:hAnsi="Calibri"/>
                <w:color w:val="auto"/>
              </w:rPr>
            </w:pPr>
            <w:r>
              <w:rPr>
                <w:rFonts w:hint="eastAsia" w:ascii="Calibri" w:hAnsi="Calibri"/>
                <w:color w:val="auto"/>
              </w:rPr>
              <w:t>5、光驱：Slim DVD Rambo光驱</w:t>
            </w:r>
          </w:p>
          <w:p>
            <w:pPr>
              <w:jc w:val="left"/>
              <w:rPr>
                <w:rFonts w:ascii="Calibri" w:hAnsi="Calibri"/>
                <w:color w:val="auto"/>
              </w:rPr>
            </w:pPr>
            <w:r>
              <w:rPr>
                <w:rFonts w:hint="eastAsia" w:ascii="Calibri" w:hAnsi="Calibri"/>
                <w:color w:val="FF0000"/>
              </w:rPr>
              <w:t>6、硬盘：≥</w:t>
            </w:r>
            <w:r>
              <w:rPr>
                <w:rFonts w:hint="eastAsia" w:ascii="Calibri" w:hAnsi="Calibri"/>
                <w:color w:val="FF0000"/>
                <w:lang w:val="en-US" w:eastAsia="zh-CN"/>
              </w:rPr>
              <w:t>2</w:t>
            </w:r>
            <w:r>
              <w:rPr>
                <w:rFonts w:hint="eastAsia" w:ascii="Calibri" w:hAnsi="Calibri"/>
                <w:color w:val="FF0000"/>
              </w:rPr>
              <w:t>TBG</w:t>
            </w:r>
            <w:r>
              <w:rPr>
                <w:rFonts w:hint="eastAsia" w:ascii="Calibri" w:hAnsi="Calibri"/>
                <w:color w:val="auto"/>
              </w:rPr>
              <w:t xml:space="preserve"> 2.5寸 SATA3 7200rpm +≥</w:t>
            </w:r>
            <w:r>
              <w:rPr>
                <w:rFonts w:ascii="Calibri" w:hAnsi="Calibri"/>
                <w:color w:val="auto"/>
              </w:rPr>
              <w:t>128</w:t>
            </w:r>
            <w:r>
              <w:rPr>
                <w:rFonts w:hint="eastAsia" w:ascii="Calibri" w:hAnsi="Calibri"/>
                <w:color w:val="auto"/>
              </w:rPr>
              <w:t>GB SSD M.2 2280 NVMe硬盘，支持双硬盘。</w:t>
            </w:r>
          </w:p>
          <w:p>
            <w:pPr>
              <w:jc w:val="left"/>
              <w:rPr>
                <w:rFonts w:ascii="Calibri" w:hAnsi="Calibri"/>
                <w:color w:val="auto"/>
              </w:rPr>
            </w:pPr>
            <w:r>
              <w:rPr>
                <w:rFonts w:hint="eastAsia" w:ascii="Calibri" w:hAnsi="Calibri"/>
                <w:color w:val="auto"/>
              </w:rPr>
              <w:t>7、显卡：≥</w:t>
            </w:r>
            <w:r>
              <w:rPr>
                <w:rFonts w:hint="eastAsia" w:ascii="宋体" w:hAnsi="宋体" w:eastAsia="宋体" w:cs="宋体"/>
                <w:color w:val="auto"/>
                <w:kern w:val="0"/>
                <w:sz w:val="20"/>
                <w:szCs w:val="20"/>
              </w:rPr>
              <w:t>AMD Radeon ™ R5 430，2 GB，GDDR5</w:t>
            </w:r>
            <w:r>
              <w:rPr>
                <w:rFonts w:hint="eastAsia" w:ascii="Calibri" w:hAnsi="Calibri"/>
                <w:color w:val="auto"/>
              </w:rPr>
              <w:t>显卡。</w:t>
            </w:r>
          </w:p>
          <w:p>
            <w:pPr>
              <w:jc w:val="left"/>
              <w:rPr>
                <w:rFonts w:ascii="Calibri" w:hAnsi="Calibri"/>
                <w:color w:val="auto"/>
              </w:rPr>
            </w:pPr>
            <w:r>
              <w:rPr>
                <w:rFonts w:hint="eastAsia" w:ascii="Calibri" w:hAnsi="Calibri"/>
                <w:color w:val="auto"/>
              </w:rPr>
              <w:t>8、声卡：集成声卡。</w:t>
            </w:r>
          </w:p>
          <w:p>
            <w:pPr>
              <w:jc w:val="left"/>
              <w:rPr>
                <w:rFonts w:ascii="Calibri" w:hAnsi="Calibri"/>
                <w:color w:val="auto"/>
              </w:rPr>
            </w:pPr>
            <w:r>
              <w:rPr>
                <w:rFonts w:hint="eastAsia" w:ascii="Calibri" w:hAnsi="Calibri"/>
                <w:color w:val="auto"/>
              </w:rPr>
              <w:t>9、接口：1 个 RJ-45 端口，10/100/1000 Mbps</w:t>
            </w:r>
          </w:p>
          <w:p>
            <w:pPr>
              <w:jc w:val="left"/>
              <w:rPr>
                <w:rFonts w:ascii="Calibri" w:hAnsi="Calibri"/>
                <w:color w:val="auto"/>
              </w:rPr>
            </w:pPr>
            <w:r>
              <w:rPr>
                <w:rFonts w:hint="eastAsia" w:ascii="Calibri" w:hAnsi="Calibri"/>
                <w:color w:val="auto"/>
              </w:rPr>
              <w:t>2 个 USB 2.0 端口，2 个第一代 USB 3.2 Type-A 端口，2 个 USB 2.0 端口，具有智能开机功能</w:t>
            </w:r>
          </w:p>
          <w:p>
            <w:pPr>
              <w:jc w:val="left"/>
              <w:rPr>
                <w:rFonts w:ascii="Calibri" w:hAnsi="Calibri"/>
                <w:color w:val="auto"/>
              </w:rPr>
            </w:pPr>
            <w:r>
              <w:rPr>
                <w:rFonts w:hint="eastAsia" w:ascii="Calibri" w:hAnsi="Calibri"/>
                <w:color w:val="auto"/>
              </w:rPr>
              <w:t>2 个第一代 USB 3.2 Type-A 端口，1 个通用音频插孔，1 个输出音频端口，1 个 DisplayPort 1.4 端口，1 个 HDMI 1.4 端口，1 个串行 /PS2 插槽</w:t>
            </w:r>
          </w:p>
          <w:p>
            <w:pPr>
              <w:jc w:val="left"/>
              <w:rPr>
                <w:rFonts w:ascii="Calibri" w:hAnsi="Calibri"/>
                <w:color w:val="auto"/>
              </w:rPr>
            </w:pPr>
            <w:r>
              <w:rPr>
                <w:rFonts w:hint="eastAsia" w:ascii="Calibri" w:hAnsi="Calibri"/>
                <w:color w:val="auto"/>
              </w:rPr>
              <w:t>1 个可选的第三视频端口 (VGA/DP 1.4/HDMI 2.0b)</w:t>
            </w:r>
          </w:p>
          <w:p>
            <w:pPr>
              <w:jc w:val="left"/>
              <w:rPr>
                <w:rFonts w:ascii="Calibri" w:hAnsi="Calibri"/>
                <w:color w:val="auto"/>
              </w:rPr>
            </w:pPr>
            <w:r>
              <w:rPr>
                <w:rFonts w:hint="eastAsia" w:ascii="Calibri" w:hAnsi="Calibri"/>
                <w:color w:val="auto"/>
              </w:rPr>
              <w:t>1</w:t>
            </w:r>
            <w:r>
              <w:rPr>
                <w:rFonts w:ascii="Calibri" w:hAnsi="Calibri"/>
                <w:color w:val="auto"/>
              </w:rPr>
              <w:t>0</w:t>
            </w:r>
            <w:r>
              <w:rPr>
                <w:rFonts w:hint="eastAsia" w:ascii="Calibri" w:hAnsi="Calibri"/>
                <w:color w:val="auto"/>
              </w:rPr>
              <w:t>、外设：配置原厂USB键盘、鼠标，支持键盘开机功能，方便使用。</w:t>
            </w:r>
          </w:p>
          <w:p>
            <w:pPr>
              <w:jc w:val="left"/>
              <w:rPr>
                <w:rFonts w:ascii="Calibri" w:hAnsi="Calibri"/>
                <w:color w:val="auto"/>
              </w:rPr>
            </w:pPr>
            <w:r>
              <w:rPr>
                <w:rFonts w:ascii="Calibri" w:hAnsi="Calibri"/>
                <w:color w:val="auto"/>
              </w:rPr>
              <w:t>11</w:t>
            </w:r>
            <w:r>
              <w:rPr>
                <w:rFonts w:hint="eastAsia" w:ascii="Calibri" w:hAnsi="Calibri"/>
                <w:color w:val="auto"/>
              </w:rPr>
              <w:t>、23.8英寸 FHD 1920x1080 IPS 非触控防眩光</w:t>
            </w:r>
          </w:p>
          <w:p>
            <w:pPr>
              <w:jc w:val="left"/>
              <w:rPr>
                <w:rFonts w:ascii="Calibri" w:hAnsi="Calibri"/>
                <w:color w:val="auto"/>
              </w:rPr>
            </w:pPr>
            <w:r>
              <w:rPr>
                <w:rFonts w:ascii="宋体" w:hAnsi="宋体" w:eastAsia="宋体" w:cs="宋体"/>
                <w:color w:val="auto"/>
                <w:kern w:val="0"/>
                <w:sz w:val="20"/>
                <w:szCs w:val="20"/>
              </w:rPr>
              <w:t>12</w:t>
            </w:r>
            <w:r>
              <w:rPr>
                <w:rFonts w:hint="eastAsia" w:ascii="宋体" w:hAnsi="宋体" w:eastAsia="宋体" w:cs="宋体"/>
                <w:color w:val="auto"/>
                <w:kern w:val="0"/>
                <w:sz w:val="20"/>
                <w:szCs w:val="20"/>
              </w:rPr>
              <w:t>、Windows 10 (64位) 简体中文版，</w:t>
            </w:r>
            <w:r>
              <w:rPr>
                <w:rFonts w:hint="eastAsia" w:ascii="Calibri" w:hAnsi="Calibri"/>
                <w:color w:val="auto"/>
              </w:rPr>
              <w:t>能够通过微软正版验证</w:t>
            </w:r>
          </w:p>
          <w:p>
            <w:pPr>
              <w:jc w:val="left"/>
              <w:rPr>
                <w:rFonts w:ascii="Calibri" w:hAnsi="Calibri"/>
                <w:color w:val="auto"/>
              </w:rPr>
            </w:pPr>
            <w:r>
              <w:rPr>
                <w:rFonts w:ascii="宋体" w:hAnsi="宋体" w:eastAsia="宋体" w:cs="宋体"/>
                <w:color w:val="auto"/>
                <w:kern w:val="0"/>
                <w:sz w:val="20"/>
                <w:szCs w:val="20"/>
              </w:rPr>
              <w:t>13</w:t>
            </w:r>
            <w:r>
              <w:rPr>
                <w:rFonts w:hint="eastAsia" w:ascii="宋体" w:hAnsi="宋体" w:eastAsia="宋体" w:cs="宋体"/>
                <w:color w:val="auto"/>
                <w:kern w:val="0"/>
                <w:sz w:val="20"/>
                <w:szCs w:val="20"/>
              </w:rPr>
              <w:t>、Microsoft Office 2019，</w:t>
            </w:r>
            <w:r>
              <w:rPr>
                <w:rFonts w:hint="eastAsia" w:ascii="Calibri" w:hAnsi="Calibri"/>
                <w:color w:val="auto"/>
              </w:rPr>
              <w:t>能够通过正版验证</w:t>
            </w:r>
          </w:p>
          <w:p>
            <w:pPr>
              <w:jc w:val="left"/>
              <w:rPr>
                <w:rFonts w:ascii="Calibri" w:hAnsi="Calibri"/>
                <w:color w:val="auto"/>
              </w:rPr>
            </w:pPr>
            <w:r>
              <w:rPr>
                <w:rFonts w:hint="eastAsia" w:ascii="Calibri" w:hAnsi="Calibri"/>
                <w:color w:val="auto"/>
              </w:rPr>
              <w:t>1</w:t>
            </w:r>
            <w:r>
              <w:rPr>
                <w:rFonts w:ascii="Calibri" w:hAnsi="Calibri"/>
                <w:color w:val="auto"/>
              </w:rPr>
              <w:t>4</w:t>
            </w:r>
            <w:r>
              <w:rPr>
                <w:rFonts w:hint="eastAsia" w:ascii="Calibri" w:hAnsi="Calibri"/>
                <w:color w:val="auto"/>
              </w:rPr>
              <w:t>、认证：通过中国节能认证证书，3C，投标时须提供以上证书复印件加盖原厂印章</w:t>
            </w:r>
          </w:p>
          <w:p>
            <w:pPr>
              <w:jc w:val="left"/>
              <w:rPr>
                <w:rFonts w:ascii="Calibri" w:hAnsi="Calibri"/>
                <w:color w:val="auto"/>
              </w:rPr>
            </w:pPr>
            <w:r>
              <w:rPr>
                <w:rFonts w:ascii="Calibri" w:hAnsi="Calibri"/>
                <w:color w:val="auto"/>
              </w:rPr>
              <w:t>15</w:t>
            </w:r>
            <w:r>
              <w:rPr>
                <w:rFonts w:hint="eastAsia" w:ascii="Calibri" w:hAnsi="Calibri"/>
                <w:color w:val="auto"/>
              </w:rPr>
              <w:t>、质保和售后服务：原厂5年整机保修及上门服务；为保证货物的正规来源，交货验收时必须提供由生产厂家针对本项目的有效供货证明及售后服务承诺书原件.</w:t>
            </w:r>
          </w:p>
          <w:p>
            <w:pPr>
              <w:jc w:val="left"/>
              <w:rPr>
                <w:rFonts w:ascii="Calibri" w:hAnsi="Calibri"/>
                <w:color w:val="auto"/>
              </w:rPr>
            </w:pPr>
            <w:r>
              <w:rPr>
                <w:rFonts w:hint="eastAsia" w:ascii="宋体" w:hAnsi="宋体" w:eastAsia="宋体" w:cs="宋体"/>
                <w:color w:val="auto"/>
                <w:kern w:val="0"/>
                <w:sz w:val="20"/>
                <w:szCs w:val="20"/>
              </w:rPr>
              <w:t>★1</w:t>
            </w:r>
            <w:r>
              <w:rPr>
                <w:rFonts w:ascii="宋体" w:hAnsi="宋体" w:eastAsia="宋体" w:cs="宋体"/>
                <w:color w:val="auto"/>
                <w:kern w:val="0"/>
                <w:sz w:val="20"/>
                <w:szCs w:val="20"/>
              </w:rPr>
              <w:t>6</w:t>
            </w:r>
            <w:r>
              <w:rPr>
                <w:rFonts w:hint="eastAsia" w:ascii="宋体" w:hAnsi="宋体" w:eastAsia="宋体" w:cs="宋体"/>
                <w:color w:val="auto"/>
                <w:kern w:val="0"/>
                <w:sz w:val="20"/>
                <w:szCs w:val="20"/>
              </w:rPr>
              <w:t>、系统集成终端安全防护功能，支持linux、国产操作系统、云桌面（至少两家）产品病毒查杀；对敲诈者病毒提供防护机制，同时提供解密工具，解密工具应为自主研发；支持正版软件的正版序列号的读取功能，确保软件正版化；产品具备漏洞集中修复，强制修复；具备蓝屏修复功能，补丁分发支持服务端带宽限流与客户端P2P补丁分发加速；产品支持与威胁检测系统、防火墙、上网行为管理等产品联动，达到网关边界联动防御效果。（要求提供功能界面截图证明并加盖产品厂家公章）</w:t>
            </w:r>
          </w:p>
        </w:tc>
        <w:tc>
          <w:tcPr>
            <w:tcW w:w="11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戴尔、联想、惠普</w:t>
            </w:r>
          </w:p>
        </w:tc>
      </w:tr>
      <w:tr>
        <w:tblPrEx>
          <w:tblCellMar>
            <w:top w:w="0" w:type="dxa"/>
            <w:left w:w="108" w:type="dxa"/>
            <w:bottom w:w="0" w:type="dxa"/>
            <w:right w:w="108" w:type="dxa"/>
          </w:tblCellMar>
        </w:tblPrEx>
        <w:trPr>
          <w:trHeight w:val="1691"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电脑</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470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1、处理器：Intel W-2225 (4C 4.1GHz 4.6GHz Turbo HT 8.25MB 105W DDR4-2933)</w:t>
            </w:r>
          </w:p>
          <w:p>
            <w:pPr>
              <w:jc w:val="left"/>
              <w:rPr>
                <w:rFonts w:ascii="Calibri" w:hAnsi="Calibri"/>
                <w:color w:val="auto"/>
              </w:rPr>
            </w:pPr>
            <w:r>
              <w:rPr>
                <w:rFonts w:hint="eastAsia" w:ascii="Calibri" w:hAnsi="Calibri"/>
                <w:color w:val="auto"/>
              </w:rPr>
              <w:t>2、芯片组：Intel C422系列及以上芯片组</w:t>
            </w:r>
          </w:p>
          <w:p>
            <w:pPr>
              <w:widowControl/>
              <w:jc w:val="left"/>
              <w:rPr>
                <w:rFonts w:ascii="Calibri" w:hAnsi="Calibri"/>
                <w:color w:val="auto"/>
              </w:rPr>
            </w:pPr>
            <w:r>
              <w:rPr>
                <w:rFonts w:ascii="宋体" w:hAnsi="宋体" w:eastAsia="宋体" w:cs="宋体"/>
                <w:color w:val="auto"/>
                <w:kern w:val="0"/>
                <w:sz w:val="20"/>
                <w:szCs w:val="20"/>
              </w:rPr>
              <w:t>3</w:t>
            </w:r>
            <w:r>
              <w:rPr>
                <w:rFonts w:hint="eastAsia" w:ascii="宋体" w:hAnsi="宋体" w:eastAsia="宋体" w:cs="宋体"/>
                <w:color w:val="auto"/>
                <w:kern w:val="0"/>
                <w:sz w:val="20"/>
                <w:szCs w:val="20"/>
              </w:rPr>
              <w:t>、内存：16GB (2x8GB) DDR4 2666MHz</w:t>
            </w:r>
            <w:r>
              <w:rPr>
                <w:rFonts w:hint="eastAsia" w:ascii="Calibri" w:hAnsi="Calibri"/>
                <w:color w:val="auto"/>
              </w:rPr>
              <w:t>最大内存容量≥128G DDR4 2666MHz，支持ECC高级内存保护技术</w:t>
            </w:r>
          </w:p>
          <w:p>
            <w:pPr>
              <w:jc w:val="left"/>
              <w:rPr>
                <w:rFonts w:ascii="Calibri" w:hAnsi="Calibri"/>
                <w:color w:val="auto"/>
              </w:rPr>
            </w:pPr>
            <w:r>
              <w:rPr>
                <w:rFonts w:ascii="宋体" w:hAnsi="宋体" w:eastAsia="宋体" w:cs="宋体"/>
                <w:color w:val="auto"/>
                <w:kern w:val="0"/>
                <w:sz w:val="20"/>
                <w:szCs w:val="20"/>
              </w:rPr>
              <w:t>4</w:t>
            </w:r>
            <w:r>
              <w:rPr>
                <w:rFonts w:hint="eastAsia" w:ascii="宋体" w:hAnsi="宋体" w:eastAsia="宋体" w:cs="宋体"/>
                <w:color w:val="auto"/>
                <w:kern w:val="0"/>
                <w:sz w:val="20"/>
                <w:szCs w:val="20"/>
              </w:rPr>
              <w:t>、硬盘：3.5" 1TB 7200rpm SATA 硬盘"</w:t>
            </w:r>
            <w:r>
              <w:rPr>
                <w:rFonts w:hint="eastAsia" w:ascii="宋体" w:hAnsi="宋体" w:eastAsia="宋体" w:cs="宋体"/>
                <w:color w:val="FF0000"/>
                <w:kern w:val="0"/>
                <w:sz w:val="20"/>
                <w:szCs w:val="20"/>
                <w:lang w:eastAsia="zh-CN"/>
              </w:rPr>
              <w:t>（</w:t>
            </w:r>
            <w:r>
              <w:rPr>
                <w:rFonts w:hint="eastAsia" w:ascii="宋体" w:hAnsi="宋体" w:eastAsia="宋体" w:cs="宋体"/>
                <w:color w:val="FF0000"/>
                <w:kern w:val="0"/>
                <w:sz w:val="20"/>
                <w:szCs w:val="20"/>
                <w:lang w:val="en-US" w:eastAsia="zh-CN"/>
              </w:rPr>
              <w:t>企业级硬盘</w:t>
            </w:r>
            <w:r>
              <w:rPr>
                <w:rFonts w:hint="eastAsia" w:ascii="Calibri" w:hAnsi="Calibri"/>
                <w:color w:val="FF0000"/>
              </w:rPr>
              <w:t>≥</w:t>
            </w:r>
            <w:r>
              <w:rPr>
                <w:rFonts w:hint="eastAsia" w:ascii="Calibri" w:hAnsi="Calibri"/>
                <w:color w:val="FF0000"/>
                <w:lang w:val="en-US" w:eastAsia="zh-CN"/>
              </w:rPr>
              <w:t>6T</w:t>
            </w:r>
            <w:r>
              <w:rPr>
                <w:rFonts w:hint="eastAsia" w:ascii="宋体" w:hAnsi="宋体" w:eastAsia="宋体" w:cs="宋体"/>
                <w:color w:val="FF0000"/>
                <w:kern w:val="0"/>
                <w:sz w:val="20"/>
                <w:szCs w:val="20"/>
                <w:lang w:eastAsia="zh-CN"/>
              </w:rPr>
              <w:t>）</w:t>
            </w:r>
            <w:r>
              <w:rPr>
                <w:rFonts w:hint="eastAsia" w:ascii="宋体" w:hAnsi="宋体" w:eastAsia="宋体" w:cs="宋体"/>
                <w:color w:val="auto"/>
                <w:kern w:val="0"/>
                <w:sz w:val="20"/>
                <w:szCs w:val="20"/>
              </w:rPr>
              <w:t xml:space="preserve"> SATA3+ 256G SSD M.2 PCIE；</w:t>
            </w:r>
            <w:r>
              <w:rPr>
                <w:rFonts w:hint="eastAsia" w:ascii="宋体" w:hAnsi="宋体" w:eastAsia="宋体" w:cs="宋体"/>
                <w:color w:val="auto"/>
                <w:kern w:val="0"/>
                <w:sz w:val="20"/>
                <w:szCs w:val="20"/>
              </w:rPr>
              <w:br w:type="textWrapping"/>
            </w:r>
            <w:r>
              <w:rPr>
                <w:rFonts w:ascii="宋体" w:hAnsi="宋体" w:eastAsia="宋体" w:cs="宋体"/>
                <w:color w:val="auto"/>
                <w:kern w:val="0"/>
                <w:sz w:val="20"/>
                <w:szCs w:val="20"/>
              </w:rPr>
              <w:t>5</w:t>
            </w:r>
            <w:r>
              <w:rPr>
                <w:rFonts w:hint="eastAsia" w:ascii="宋体" w:hAnsi="宋体" w:eastAsia="宋体" w:cs="宋体"/>
                <w:color w:val="auto"/>
                <w:kern w:val="0"/>
                <w:sz w:val="20"/>
                <w:szCs w:val="20"/>
              </w:rPr>
              <w:t>、显卡：QUADRO P2000 5GB</w:t>
            </w:r>
            <w:r>
              <w:rPr>
                <w:rFonts w:hint="eastAsia" w:ascii="Calibri" w:hAnsi="Calibri"/>
                <w:color w:val="auto"/>
              </w:rPr>
              <w:t>或以上，支持预装GTX 1060/1070/1080显卡</w:t>
            </w:r>
          </w:p>
          <w:p>
            <w:pPr>
              <w:jc w:val="left"/>
              <w:rPr>
                <w:rFonts w:ascii="Calibri" w:hAnsi="Calibri"/>
                <w:color w:val="auto"/>
              </w:rPr>
            </w:pPr>
            <w:r>
              <w:rPr>
                <w:rFonts w:hint="eastAsia" w:ascii="Calibri" w:hAnsi="Calibri"/>
                <w:color w:val="auto"/>
              </w:rPr>
              <w:t>6、声卡：支持5.1声卡</w:t>
            </w:r>
          </w:p>
          <w:p>
            <w:pPr>
              <w:jc w:val="left"/>
              <w:rPr>
                <w:rFonts w:ascii="Calibri" w:hAnsi="Calibri"/>
                <w:color w:val="auto"/>
              </w:rPr>
            </w:pPr>
            <w:r>
              <w:rPr>
                <w:rFonts w:hint="eastAsia" w:ascii="Calibri" w:hAnsi="Calibri"/>
                <w:color w:val="auto"/>
              </w:rPr>
              <w:t>7、网卡：集成千兆网卡</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8</w:t>
            </w:r>
            <w:r>
              <w:rPr>
                <w:rFonts w:hint="eastAsia" w:ascii="宋体" w:hAnsi="宋体" w:eastAsia="宋体" w:cs="宋体"/>
                <w:color w:val="auto"/>
                <w:kern w:val="0"/>
                <w:sz w:val="20"/>
                <w:szCs w:val="20"/>
              </w:rPr>
              <w:t>、显示器：27英寸1080P显示器</w:t>
            </w:r>
          </w:p>
          <w:p>
            <w:pPr>
              <w:jc w:val="left"/>
              <w:rPr>
                <w:rFonts w:ascii="Calibri" w:hAnsi="Calibri"/>
                <w:color w:val="auto"/>
              </w:rPr>
            </w:pPr>
            <w:r>
              <w:rPr>
                <w:rFonts w:ascii="宋体" w:hAnsi="宋体" w:eastAsia="宋体" w:cs="宋体"/>
                <w:color w:val="auto"/>
                <w:kern w:val="0"/>
                <w:sz w:val="20"/>
                <w:szCs w:val="20"/>
              </w:rPr>
              <w:t>9</w:t>
            </w:r>
            <w:r>
              <w:rPr>
                <w:rFonts w:hint="eastAsia" w:ascii="宋体" w:hAnsi="宋体" w:eastAsia="宋体" w:cs="宋体"/>
                <w:color w:val="auto"/>
                <w:kern w:val="0"/>
                <w:sz w:val="20"/>
                <w:szCs w:val="20"/>
              </w:rPr>
              <w:t>、Windows 10 (64位) 简体中文版，</w:t>
            </w:r>
            <w:r>
              <w:rPr>
                <w:rFonts w:hint="eastAsia" w:ascii="Calibri" w:hAnsi="Calibri"/>
                <w:color w:val="auto"/>
              </w:rPr>
              <w:t>能够通过微软正版验证</w:t>
            </w:r>
          </w:p>
          <w:p>
            <w:pPr>
              <w:jc w:val="left"/>
              <w:rPr>
                <w:rFonts w:ascii="Calibri" w:hAnsi="Calibri"/>
                <w:color w:val="auto"/>
              </w:rPr>
            </w:pPr>
            <w:r>
              <w:rPr>
                <w:rFonts w:ascii="宋体" w:hAnsi="宋体" w:eastAsia="宋体" w:cs="宋体"/>
                <w:color w:val="auto"/>
                <w:kern w:val="0"/>
                <w:sz w:val="20"/>
                <w:szCs w:val="20"/>
              </w:rPr>
              <w:t>10</w:t>
            </w:r>
            <w:r>
              <w:rPr>
                <w:rFonts w:hint="eastAsia" w:ascii="宋体" w:hAnsi="宋体" w:eastAsia="宋体" w:cs="宋体"/>
                <w:color w:val="auto"/>
                <w:kern w:val="0"/>
                <w:sz w:val="20"/>
                <w:szCs w:val="20"/>
              </w:rPr>
              <w:t>、Microsoft Office 2019，</w:t>
            </w:r>
            <w:r>
              <w:rPr>
                <w:rFonts w:hint="eastAsia" w:ascii="Calibri" w:hAnsi="Calibri"/>
                <w:color w:val="auto"/>
              </w:rPr>
              <w:t>能够通过正版验证</w:t>
            </w:r>
          </w:p>
          <w:p>
            <w:pPr>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w:t>
            </w:r>
            <w:r>
              <w:rPr>
                <w:rFonts w:ascii="宋体" w:hAnsi="宋体" w:eastAsia="宋体" w:cs="宋体"/>
                <w:color w:val="auto"/>
                <w:kern w:val="0"/>
                <w:sz w:val="20"/>
                <w:szCs w:val="20"/>
              </w:rPr>
              <w:t>1</w:t>
            </w:r>
            <w:r>
              <w:rPr>
                <w:rFonts w:hint="eastAsia" w:ascii="宋体" w:hAnsi="宋体" w:eastAsia="宋体" w:cs="宋体"/>
                <w:color w:val="auto"/>
                <w:kern w:val="0"/>
                <w:sz w:val="20"/>
                <w:szCs w:val="20"/>
              </w:rPr>
              <w:t>、安全性：防盗开关；设置/BIOS 密码；I/O 接口安全；Kensington 锁插槽、挂锁环、内置挡板锁；可锁电源；</w:t>
            </w:r>
          </w:p>
          <w:p>
            <w:pPr>
              <w:jc w:val="left"/>
              <w:rPr>
                <w:rFonts w:ascii="Calibri" w:hAnsi="Calibri"/>
                <w:color w:val="auto"/>
              </w:rPr>
            </w:pPr>
            <w:r>
              <w:rPr>
                <w:rFonts w:hint="eastAsia" w:ascii="Calibri" w:hAnsi="Calibri"/>
                <w:color w:val="auto"/>
              </w:rPr>
              <w:t>1</w:t>
            </w:r>
            <w:r>
              <w:rPr>
                <w:rFonts w:ascii="Calibri" w:hAnsi="Calibri"/>
                <w:color w:val="auto"/>
              </w:rPr>
              <w:t>2</w:t>
            </w:r>
            <w:r>
              <w:rPr>
                <w:rFonts w:hint="eastAsia" w:ascii="Calibri" w:hAnsi="Calibri"/>
                <w:color w:val="auto"/>
              </w:rPr>
              <w:t>、认证：通过中国节能认证证书，3C，投标时须提供以上证书复印件加盖原厂印章</w:t>
            </w:r>
          </w:p>
          <w:p>
            <w:pPr>
              <w:widowControl/>
              <w:jc w:val="left"/>
              <w:rPr>
                <w:rFonts w:ascii="宋体" w:hAnsi="宋体" w:eastAsia="宋体" w:cs="宋体"/>
                <w:color w:val="auto"/>
                <w:kern w:val="0"/>
                <w:sz w:val="20"/>
                <w:szCs w:val="20"/>
              </w:rPr>
            </w:pPr>
            <w:r>
              <w:rPr>
                <w:rFonts w:ascii="Calibri" w:hAnsi="Calibri"/>
                <w:color w:val="auto"/>
              </w:rPr>
              <w:t>13</w:t>
            </w:r>
            <w:r>
              <w:rPr>
                <w:rFonts w:hint="eastAsia" w:ascii="Calibri" w:hAnsi="Calibri"/>
                <w:color w:val="auto"/>
              </w:rPr>
              <w:t>、质保和售后服务：原厂5年整机保修及上门服务；为保证货物的正规来源，交货验收时必须提供由生产厂家针对本项目的有效供货证明及售后服务承诺书原件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w:t>
            </w:r>
            <w:r>
              <w:rPr>
                <w:rFonts w:ascii="宋体" w:hAnsi="宋体" w:eastAsia="宋体" w:cs="宋体"/>
                <w:color w:val="auto"/>
                <w:kern w:val="0"/>
                <w:sz w:val="20"/>
                <w:szCs w:val="20"/>
              </w:rPr>
              <w:t>14</w:t>
            </w:r>
            <w:r>
              <w:rPr>
                <w:rFonts w:hint="eastAsia" w:ascii="宋体" w:hAnsi="宋体" w:eastAsia="宋体" w:cs="宋体"/>
                <w:color w:val="auto"/>
                <w:kern w:val="0"/>
                <w:sz w:val="20"/>
                <w:szCs w:val="20"/>
              </w:rPr>
              <w:t>、系统集成终端安全防护功能，支持linux、国产操作系统、云桌面（至少两家）产品病毒查杀；对敲诈者病毒提供防护机制，同时提供解密工具，解密工具应为自主研发；支持正版软件的正版序列号的读取功能，确保软件正版化；产品具备漏洞集中修复，强制修复；具备蓝屏修复功能，补丁分发支持服务端带宽限流与客户端P2P补丁分发加速；产品支持与威胁检测系统、防火墙、上网行为管理等产品联动，达到网关边界联动防御效果。（为防止虚拟应标，上述功能要求提供功能界面截图证明并加盖产品厂家公章）</w:t>
            </w:r>
          </w:p>
        </w:tc>
        <w:tc>
          <w:tcPr>
            <w:tcW w:w="1132" w:type="dxa"/>
            <w:tcBorders>
              <w:top w:val="nil"/>
              <w:left w:val="nil"/>
              <w:bottom w:val="single" w:color="000000" w:sz="4" w:space="0"/>
              <w:right w:val="single" w:color="000000" w:sz="4" w:space="0"/>
            </w:tcBorders>
            <w:shd w:val="clear" w:color="auto" w:fill="auto"/>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戴尔、联想、同方</w:t>
            </w:r>
          </w:p>
        </w:tc>
      </w:tr>
      <w:tr>
        <w:tblPrEx>
          <w:tblCellMar>
            <w:top w:w="0" w:type="dxa"/>
            <w:left w:w="108" w:type="dxa"/>
            <w:bottom w:w="0" w:type="dxa"/>
            <w:right w:w="108" w:type="dxa"/>
          </w:tblCellMar>
        </w:tblPrEx>
        <w:trPr>
          <w:trHeight w:val="15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打印机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3000</w:t>
            </w:r>
          </w:p>
        </w:tc>
        <w:tc>
          <w:tcPr>
            <w:tcW w:w="470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 A4黑白打印/复印/扫描/传真功能一体机</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 首页输出）黑白： 仅需6.4 秒;打印速度： 28页/分钟；打印负荷：最高 20,000 页；打印精度：1200 x 1200 dpi；打印语言: PCL5c、PCL6、PS、PCLm、PDF、URF、PWG;标配自动双面打印；</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 显示屏:2.7英寸（6.9厘米）彩色触控屏;处理器速度:800 MHz:内存:256MB;纸张处理（进纸）:250 页进纸盒，10页优先进纸盒;纸张处理（出纸）:100 页面朝下纸盒;最大输出容量:高达 100 页；</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 配35页自动输稿器;复印速度:黑白：高达 28 页/分钟;复印分辨率：600 x 600 dpi;复印缩小/放大设置:25% 到 400%;复印量（最大）:高达 99 份;支持身份证复印；</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5、 手动双面复印；扫描分辨率:1200 x 1200 dpi;扫描速度：黑白15页/分钟；传真:有;传真发送速度:33.6 kbps:传真分辨率:高达 300 x 300 dpi 分辨率; </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 支持智能安装，自动开关机；usb2.0,10/100M网口、支持WIFI打印;随机硒鼓：23000页；随机粉盒；1600页 ，耗材： 标量粉盒 CF230A（1600页）、高容量粉盒（3500页）、成像鼓CF232A (23000页）：保修：一年送修</w:t>
            </w:r>
          </w:p>
        </w:tc>
        <w:tc>
          <w:tcPr>
            <w:tcW w:w="1132" w:type="dxa"/>
            <w:tcBorders>
              <w:top w:val="nil"/>
              <w:left w:val="nil"/>
              <w:bottom w:val="single" w:color="000000" w:sz="4" w:space="0"/>
              <w:right w:val="single" w:color="000000" w:sz="4" w:space="0"/>
            </w:tcBorders>
            <w:shd w:val="clear" w:color="auto" w:fill="auto"/>
            <w:vAlign w:val="center"/>
          </w:tcPr>
          <w:p>
            <w:pPr>
              <w:pStyle w:val="2"/>
              <w:rPr>
                <w:rFonts w:asciiTheme="majorEastAsia" w:hAnsiTheme="majorEastAsia" w:eastAsiaTheme="majorEastAsia"/>
                <w:b w:val="0"/>
                <w:bCs w:val="0"/>
                <w:color w:val="auto"/>
                <w:sz w:val="21"/>
                <w:szCs w:val="21"/>
                <w:lang w:val="en-US"/>
              </w:rPr>
            </w:pPr>
            <w:r>
              <w:rPr>
                <w:rFonts w:hint="eastAsia" w:cs="宋体" w:asciiTheme="majorEastAsia" w:hAnsiTheme="majorEastAsia" w:eastAsiaTheme="majorEastAsia"/>
                <w:b w:val="0"/>
                <w:bCs w:val="0"/>
                <w:color w:val="auto"/>
                <w:kern w:val="0"/>
                <w:sz w:val="21"/>
                <w:szCs w:val="21"/>
              </w:rPr>
              <w:t>佳</w:t>
            </w:r>
            <w:r>
              <w:rPr>
                <w:rFonts w:hint="eastAsia" w:asciiTheme="majorEastAsia" w:hAnsiTheme="majorEastAsia" w:eastAsiaTheme="majorEastAsia"/>
                <w:b w:val="0"/>
                <w:bCs w:val="0"/>
                <w:color w:val="auto"/>
                <w:sz w:val="21"/>
                <w:szCs w:val="21"/>
                <w:lang w:val="en-US"/>
              </w:rPr>
              <w:t>能、HP</w:t>
            </w:r>
          </w:p>
          <w:p>
            <w:pPr>
              <w:pStyle w:val="2"/>
              <w:rPr>
                <w:color w:val="auto"/>
                <w:lang w:val="en-US"/>
              </w:rPr>
            </w:pPr>
            <w:r>
              <w:rPr>
                <w:rFonts w:hint="eastAsia" w:asciiTheme="majorEastAsia" w:hAnsiTheme="majorEastAsia" w:eastAsiaTheme="majorEastAsia"/>
                <w:b w:val="0"/>
                <w:bCs w:val="0"/>
                <w:color w:val="auto"/>
                <w:sz w:val="21"/>
                <w:szCs w:val="21"/>
                <w:lang w:val="en-US"/>
              </w:rPr>
              <w:t>爱普生</w:t>
            </w:r>
          </w:p>
        </w:tc>
      </w:tr>
      <w:tr>
        <w:tblPrEx>
          <w:tblCellMar>
            <w:top w:w="0" w:type="dxa"/>
            <w:left w:w="108" w:type="dxa"/>
            <w:bottom w:w="0" w:type="dxa"/>
            <w:right w:w="108" w:type="dxa"/>
          </w:tblCellMar>
        </w:tblPrEx>
        <w:trPr>
          <w:trHeight w:val="85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碎纸机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1700</w:t>
            </w:r>
          </w:p>
        </w:tc>
        <w:tc>
          <w:tcPr>
            <w:tcW w:w="470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4级保密，碎纸能力 21张/次，碎纸箱容积 33L，产品重量 18kg，工作噪音 53dB，其它特性 360度安全防护：过载保护、纸满停机、过热保护，抽桶停机，防堵卡，可碎光盘/卡片/回形针/书钉</w:t>
            </w:r>
          </w:p>
        </w:tc>
        <w:tc>
          <w:tcPr>
            <w:tcW w:w="1132" w:type="dxa"/>
            <w:tcBorders>
              <w:top w:val="nil"/>
              <w:left w:val="nil"/>
              <w:bottom w:val="single" w:color="000000" w:sz="4" w:space="0"/>
              <w:right w:val="single" w:color="000000" w:sz="4" w:space="0"/>
            </w:tcBorders>
            <w:shd w:val="clear" w:color="auto" w:fill="auto"/>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国产</w:t>
            </w:r>
          </w:p>
        </w:tc>
      </w:tr>
      <w:tr>
        <w:tblPrEx>
          <w:tblCellMar>
            <w:top w:w="0" w:type="dxa"/>
            <w:left w:w="108" w:type="dxa"/>
            <w:bottom w:w="0" w:type="dxa"/>
            <w:right w:w="108" w:type="dxa"/>
          </w:tblCellMar>
        </w:tblPrEx>
        <w:trPr>
          <w:trHeight w:val="102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摄像机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38000</w:t>
            </w:r>
          </w:p>
        </w:tc>
        <w:tc>
          <w:tcPr>
            <w:tcW w:w="470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 4K 便携式手持摄录一体机，1/2 英寸背照式 Exmor R 3CMOS 成像器,具有 4K 50p/60p 录制功能、12G-SDI 4K视频信号输出，无级ND滤镜，17倍高质量变焦镜头,高级人脸检测 AF 功能和双链路网络聚合推流直播功能</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2、有效像素：3840（水平）x 2160（垂直），光学系统：F1.6 棱镜系统，光学变焦：17X</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实际焦距f = 5.6 - 95.2 mm，35mm 等效： f = 30.3 - 515 mm，滤镜直径： M77 mm，间距 0.75mm，光圈：F1.9 - F16和关闭、自动/手动可选，寻像器：1.3 cm（0.5 英寸）约 2.36M 像素，液晶：8.8cm（3.5 英寸）约 1.56M 像素 ，内置全指向立体声驻极体电容麦克风</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快门速度 1/24 秒至 1/8,000 秒</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3、支持SDI输出，支持Wi-Fi/NFC </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4、存储介质：SxS 卡</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5、重量：大约 2.6kg（仅机身）,约 3.0 kg（含镜头遮光罩，眼罩、BP-U30 电池、1 块 SxS 存储卡）</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6、尺寸：178.4 × 202.0 × 426.3 mm（含镜头遮光罩、眼罩等配件，不含手柄带，含突出部分）</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7、标配：镜头遮光罩 (1)，预安装到摄录一体机EVF 眼罩 (1)电池包 BP-U30 或 U35 (1)，交流电适配器/充电器 BC-U1A (1)，电源线 (1)，USB 电缆 (1)，肩带 (1)，保修手册 (1)，“装置使用前须知”(1)，CDROM“操作说明”(1)</w:t>
            </w:r>
          </w:p>
        </w:tc>
        <w:tc>
          <w:tcPr>
            <w:tcW w:w="1132" w:type="dxa"/>
            <w:tcBorders>
              <w:top w:val="nil"/>
              <w:left w:val="nil"/>
              <w:bottom w:val="single" w:color="000000" w:sz="4" w:space="0"/>
              <w:right w:val="single" w:color="000000" w:sz="4" w:space="0"/>
            </w:tcBorders>
            <w:shd w:val="clear" w:color="auto" w:fill="auto"/>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索尼、佳能、松下</w:t>
            </w:r>
          </w:p>
        </w:tc>
      </w:tr>
      <w:tr>
        <w:tblPrEx>
          <w:tblCellMar>
            <w:top w:w="0" w:type="dxa"/>
            <w:left w:w="108" w:type="dxa"/>
            <w:bottom w:w="0" w:type="dxa"/>
            <w:right w:w="108" w:type="dxa"/>
          </w:tblCellMar>
        </w:tblPrEx>
        <w:trPr>
          <w:trHeight w:val="416"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三脚架</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1800</w:t>
            </w:r>
          </w:p>
        </w:tc>
        <w:tc>
          <w:tcPr>
            <w:tcW w:w="470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1、承重：3KG</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2、球碗直径：65mm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3、动态平衡：内置</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4、俯仰角度：+90°/-70°</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5、阻尼模式：内置</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6、机位托板：快速拆卸托板</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7、重量：3.2KG</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8、高度：70-150cm</w:t>
            </w:r>
          </w:p>
        </w:tc>
        <w:tc>
          <w:tcPr>
            <w:tcW w:w="1132" w:type="dxa"/>
            <w:tcBorders>
              <w:top w:val="nil"/>
              <w:left w:val="nil"/>
              <w:bottom w:val="single" w:color="000000" w:sz="4" w:space="0"/>
              <w:right w:val="single" w:color="000000" w:sz="4" w:space="0"/>
            </w:tcBorders>
            <w:shd w:val="clear" w:color="auto" w:fill="auto"/>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国产</w:t>
            </w:r>
          </w:p>
        </w:tc>
      </w:tr>
      <w:tr>
        <w:tblPrEx>
          <w:tblCellMar>
            <w:top w:w="0" w:type="dxa"/>
            <w:left w:w="108" w:type="dxa"/>
            <w:bottom w:w="0" w:type="dxa"/>
            <w:right w:w="108" w:type="dxa"/>
          </w:tblCellMar>
        </w:tblPrEx>
        <w:trPr>
          <w:trHeight w:val="2117"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无线话筒</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3750</w:t>
            </w:r>
          </w:p>
        </w:tc>
        <w:tc>
          <w:tcPr>
            <w:tcW w:w="470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1、真正的双调谐器分集，提供稳定的信号接收能力，自动增益模式下的音量控制功能</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 +15 dB 增益音量增强模式，可用于非麦克风音频线路输入，提供通道内存，可用于两台发射器操作时快速切换接收器频率发送到接收器的发射器频率，用于将多个接收器匹配到一个发射器</w:t>
            </w:r>
            <w:r>
              <w:rPr>
                <w:rFonts w:hint="eastAsia" w:ascii="宋体" w:hAnsi="宋体" w:eastAsia="宋体" w:cs="宋体"/>
                <w:color w:val="auto"/>
                <w:kern w:val="0"/>
                <w:sz w:val="20"/>
                <w:szCs w:val="20"/>
              </w:rPr>
              <w:br w:type="textWrapping"/>
            </w:r>
            <w:r>
              <w:rPr>
                <w:rFonts w:ascii="宋体" w:hAnsi="宋体" w:eastAsia="宋体" w:cs="宋体"/>
                <w:color w:val="auto"/>
                <w:kern w:val="0"/>
                <w:sz w:val="20"/>
                <w:szCs w:val="20"/>
              </w:rPr>
              <w:t>2</w:t>
            </w:r>
            <w:r>
              <w:rPr>
                <w:rFonts w:hint="eastAsia" w:ascii="宋体" w:hAnsi="宋体" w:eastAsia="宋体" w:cs="宋体"/>
                <w:color w:val="auto"/>
                <w:kern w:val="0"/>
                <w:sz w:val="20"/>
                <w:szCs w:val="20"/>
              </w:rPr>
              <w:t>、适用于监控的监听耳机输出，将接收器用作耳式监视器的监视器模式，可调静音功能</w:t>
            </w:r>
            <w:r>
              <w:rPr>
                <w:rFonts w:hint="eastAsia" w:ascii="宋体" w:hAnsi="宋体" w:eastAsia="宋体" w:cs="宋体"/>
                <w:color w:val="auto"/>
                <w:kern w:val="0"/>
                <w:sz w:val="20"/>
                <w:szCs w:val="20"/>
              </w:rPr>
              <w:br w:type="textWrapping"/>
            </w:r>
            <w:r>
              <w:rPr>
                <w:rFonts w:ascii="宋体" w:hAnsi="宋体" w:eastAsia="宋体" w:cs="宋体"/>
                <w:color w:val="auto"/>
                <w:kern w:val="0"/>
                <w:sz w:val="20"/>
                <w:szCs w:val="20"/>
              </w:rPr>
              <w:t>3</w:t>
            </w:r>
            <w:r>
              <w:rPr>
                <w:rFonts w:hint="eastAsia" w:ascii="宋体" w:hAnsi="宋体" w:eastAsia="宋体" w:cs="宋体"/>
                <w:color w:val="auto"/>
                <w:kern w:val="0"/>
                <w:sz w:val="20"/>
                <w:szCs w:val="20"/>
              </w:rPr>
              <w:t>、接收器输出电平控制，高可见度 OLED 显示屏，适用于室内外环境，电源 USB 接口</w:t>
            </w:r>
            <w:r>
              <w:rPr>
                <w:rFonts w:hint="eastAsia" w:ascii="宋体" w:hAnsi="宋体" w:eastAsia="宋体" w:cs="宋体"/>
                <w:color w:val="auto"/>
                <w:kern w:val="0"/>
                <w:sz w:val="20"/>
                <w:szCs w:val="20"/>
              </w:rPr>
              <w:br w:type="textWrapping"/>
            </w:r>
            <w:r>
              <w:rPr>
                <w:rFonts w:ascii="宋体" w:hAnsi="宋体" w:eastAsia="宋体" w:cs="宋体"/>
                <w:color w:val="auto"/>
                <w:kern w:val="0"/>
                <w:sz w:val="20"/>
                <w:szCs w:val="20"/>
              </w:rPr>
              <w:t>4</w:t>
            </w:r>
            <w:r>
              <w:rPr>
                <w:rFonts w:hint="eastAsia" w:ascii="宋体" w:hAnsi="宋体" w:eastAsia="宋体" w:cs="宋体"/>
                <w:color w:val="auto"/>
                <w:kern w:val="0"/>
                <w:sz w:val="20"/>
                <w:szCs w:val="20"/>
              </w:rPr>
              <w:t>、URX-P40 便携式接收器：信噪比60 dB（1 kHz 正弦波，5 kHz 调制），尺寸63 x 70 x 31 mm (2 1/2 x 2 7/8 x 1 1/4 in.)（宽/高/深，不含天线），重量约 131 g (4.6 oz)（不含电池）</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UTX-B40 腰包式发射器：信噪比60 dB-102 dB，尺寸63 x 73 x 19 mm (2 1/2 x 2 7/8 x 3/4 in.)（宽/高/深，不含天线），重量约 83 g (2.9 oz)（不含电池）</w:t>
            </w:r>
          </w:p>
        </w:tc>
        <w:tc>
          <w:tcPr>
            <w:tcW w:w="11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索尼、佳能、松下</w:t>
            </w:r>
          </w:p>
        </w:tc>
      </w:tr>
      <w:tr>
        <w:tblPrEx>
          <w:tblCellMar>
            <w:top w:w="0" w:type="dxa"/>
            <w:left w:w="108" w:type="dxa"/>
            <w:bottom w:w="0" w:type="dxa"/>
            <w:right w:w="108" w:type="dxa"/>
          </w:tblCellMar>
        </w:tblPrEx>
        <w:trPr>
          <w:trHeight w:val="52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973"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原装拍摄卡</w:t>
            </w:r>
          </w:p>
        </w:tc>
        <w:tc>
          <w:tcPr>
            <w:tcW w:w="567"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75"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2800</w:t>
            </w:r>
          </w:p>
        </w:tc>
        <w:tc>
          <w:tcPr>
            <w:tcW w:w="4702" w:type="dxa"/>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读取速度 440MB/s，写入速度200Mb/s</w:t>
            </w:r>
          </w:p>
        </w:tc>
        <w:tc>
          <w:tcPr>
            <w:tcW w:w="11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国产</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档案柜</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900</w:t>
            </w:r>
          </w:p>
        </w:tc>
        <w:tc>
          <w:tcPr>
            <w:tcW w:w="4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分体五节文件柜单节档案柜带锁资料柜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包装尺寸: 1950*850*360</w:t>
            </w:r>
          </w:p>
        </w:tc>
        <w:tc>
          <w:tcPr>
            <w:tcW w:w="1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国产</w:t>
            </w:r>
          </w:p>
        </w:tc>
      </w:tr>
      <w:tr>
        <w:tblPrEx>
          <w:tblCellMar>
            <w:top w:w="0" w:type="dxa"/>
            <w:left w:w="108" w:type="dxa"/>
            <w:bottom w:w="0" w:type="dxa"/>
            <w:right w:w="108" w:type="dxa"/>
          </w:tblCellMar>
        </w:tblPrEx>
        <w:trPr>
          <w:trHeight w:val="850" w:hRule="atLeast"/>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9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碎纸机</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47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碎纸能力 16张/次，碎纸箱容积25L，产品重量 12.7kg，其它特性 360度安全防护：过载保护、纸满停机、过热保护，抽桶停机，防堵卡，可碎光盘/卡片/回形针/书钉</w:t>
            </w:r>
          </w:p>
        </w:tc>
        <w:tc>
          <w:tcPr>
            <w:tcW w:w="11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国产</w:t>
            </w:r>
          </w:p>
        </w:tc>
      </w:tr>
      <w:tr>
        <w:tblPrEx>
          <w:tblCellMar>
            <w:top w:w="0" w:type="dxa"/>
            <w:left w:w="108" w:type="dxa"/>
            <w:bottom w:w="0" w:type="dxa"/>
            <w:right w:w="108" w:type="dxa"/>
          </w:tblCellMar>
        </w:tblPrEx>
        <w:trPr>
          <w:trHeight w:val="850" w:hRule="atLeast"/>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9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复印机</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000</w:t>
            </w:r>
          </w:p>
        </w:tc>
        <w:tc>
          <w:tcPr>
            <w:tcW w:w="47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1</w:t>
            </w:r>
            <w:r>
              <w:rPr>
                <w:rFonts w:hint="eastAsia" w:ascii="宋体" w:hAnsi="宋体" w:eastAsia="宋体" w:cs="宋体"/>
                <w:kern w:val="0"/>
                <w:sz w:val="20"/>
                <w:szCs w:val="20"/>
              </w:rPr>
              <w:t>、A3黑白激光多动能一体机，标配网络双面打印、双面复印、网络彩色扫描</w:t>
            </w:r>
          </w:p>
          <w:p>
            <w:pPr>
              <w:widowControl/>
              <w:jc w:val="left"/>
              <w:rPr>
                <w:rFonts w:ascii="宋体" w:hAnsi="宋体" w:eastAsia="宋体" w:cs="宋体"/>
                <w:kern w:val="0"/>
                <w:sz w:val="20"/>
                <w:szCs w:val="20"/>
              </w:rPr>
            </w:pPr>
            <w:r>
              <w:rPr>
                <w:rFonts w:ascii="宋体" w:hAnsi="宋体" w:eastAsia="宋体" w:cs="宋体"/>
                <w:kern w:val="0"/>
                <w:sz w:val="20"/>
                <w:szCs w:val="20"/>
              </w:rPr>
              <w:t>2</w:t>
            </w:r>
            <w:r>
              <w:rPr>
                <w:rFonts w:hint="eastAsia" w:ascii="宋体" w:hAnsi="宋体" w:eastAsia="宋体" w:cs="宋体"/>
                <w:kern w:val="0"/>
                <w:sz w:val="20"/>
                <w:szCs w:val="20"/>
              </w:rPr>
              <w:t>、输出速度：黑白22页/分钟，打印分辨率:600dpi*600dpi，复印分辨率:600dpi*600dpi</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连续复印份数999份</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标配PCL 6、PS（仿真）打印语言，可以直接打印PDF</w:t>
            </w:r>
          </w:p>
          <w:p>
            <w:pPr>
              <w:widowControl/>
              <w:jc w:val="left"/>
              <w:rPr>
                <w:rFonts w:ascii="宋体" w:hAnsi="宋体" w:eastAsia="宋体" w:cs="宋体"/>
                <w:kern w:val="0"/>
                <w:sz w:val="20"/>
                <w:szCs w:val="20"/>
              </w:rPr>
            </w:pPr>
            <w:r>
              <w:rPr>
                <w:rFonts w:ascii="宋体" w:hAnsi="宋体" w:eastAsia="宋体" w:cs="宋体"/>
                <w:kern w:val="0"/>
                <w:sz w:val="20"/>
                <w:szCs w:val="20"/>
              </w:rPr>
              <w:t>3</w:t>
            </w:r>
            <w:r>
              <w:rPr>
                <w:rFonts w:hint="eastAsia" w:ascii="宋体" w:hAnsi="宋体" w:eastAsia="宋体" w:cs="宋体"/>
                <w:kern w:val="0"/>
                <w:sz w:val="20"/>
                <w:szCs w:val="20"/>
              </w:rPr>
              <w:t>、扫描速度：单面黑白/彩色30页/分钟，双面黑白/彩色12页/分钟扫描分辨率：600dpi*600dpi</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支持TWAIN扫描，从ADF或平板扫描到电脑(本地、网络)，可扫描成TIFF、 JPEG、 PDF格式</w:t>
            </w:r>
          </w:p>
          <w:p>
            <w:pPr>
              <w:widowControl/>
              <w:jc w:val="left"/>
              <w:rPr>
                <w:rFonts w:ascii="宋体" w:hAnsi="宋体" w:eastAsia="宋体" w:cs="宋体"/>
                <w:kern w:val="0"/>
                <w:sz w:val="20"/>
                <w:szCs w:val="20"/>
              </w:rPr>
            </w:pPr>
            <w:r>
              <w:rPr>
                <w:rFonts w:ascii="宋体" w:hAnsi="宋体" w:eastAsia="宋体" w:cs="宋体"/>
                <w:kern w:val="0"/>
                <w:sz w:val="20"/>
                <w:szCs w:val="20"/>
              </w:rPr>
              <w:t>4</w:t>
            </w:r>
            <w:r>
              <w:rPr>
                <w:rFonts w:hint="eastAsia" w:ascii="宋体" w:hAnsi="宋体" w:eastAsia="宋体" w:cs="宋体"/>
                <w:kern w:val="0"/>
                <w:sz w:val="20"/>
                <w:szCs w:val="20"/>
              </w:rPr>
              <w:t>、标配高速USB 2.0，100Base-TX快速以太网卡</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标配4行LCD液晶屏内存512MB，*处理器速度600MHz</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5、标配纸盒容量：250+100张，最大可扩充到600页，纸张尺寸:支持A4尺寸，最大支持A3尺寸纸张</w:t>
            </w:r>
          </w:p>
        </w:tc>
        <w:tc>
          <w:tcPr>
            <w:tcW w:w="11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HP，佳能，爱普生</w:t>
            </w:r>
          </w:p>
          <w:p>
            <w:pPr>
              <w:pStyle w:val="2"/>
              <w:rPr>
                <w:lang w:val="en-US"/>
              </w:rPr>
            </w:pPr>
          </w:p>
        </w:tc>
      </w:tr>
      <w:tr>
        <w:tblPrEx>
          <w:tblCellMar>
            <w:top w:w="0" w:type="dxa"/>
            <w:left w:w="108" w:type="dxa"/>
            <w:bottom w:w="0" w:type="dxa"/>
            <w:right w:w="108" w:type="dxa"/>
          </w:tblCellMar>
        </w:tblPrEx>
        <w:trPr>
          <w:trHeight w:val="850" w:hRule="atLeast"/>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9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录音笔</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500</w:t>
            </w:r>
          </w:p>
        </w:tc>
        <w:tc>
          <w:tcPr>
            <w:tcW w:w="4702" w:type="dxa"/>
            <w:tcBorders>
              <w:top w:val="single" w:color="auto" w:sz="4" w:space="0"/>
              <w:left w:val="nil"/>
              <w:bottom w:val="single" w:color="auto" w:sz="4" w:space="0"/>
              <w:right w:val="single" w:color="auto" w:sz="4" w:space="0"/>
            </w:tcBorders>
            <w:shd w:val="clear" w:color="auto" w:fill="auto"/>
            <w:vAlign w:val="center"/>
          </w:tcPr>
          <w:p>
            <w:pPr>
              <w:widowControl/>
              <w:jc w:val="left"/>
            </w:pPr>
            <w:r>
              <w:t>1</w:t>
            </w:r>
            <w:r>
              <w:rPr>
                <w:rFonts w:hint="eastAsia"/>
              </w:rPr>
              <w:t>、</w:t>
            </w:r>
            <w:r>
              <w:t> 2+6麦克风阵列，专业录音降噪；</w:t>
            </w:r>
          </w:p>
          <w:p>
            <w:pPr>
              <w:widowControl/>
              <w:jc w:val="left"/>
            </w:pPr>
            <w:r>
              <w:t>2</w:t>
            </w:r>
            <w:r>
              <w:rPr>
                <w:rFonts w:hint="eastAsia"/>
              </w:rPr>
              <w:t>、</w:t>
            </w:r>
            <w:r>
              <w:t>录音转文字，在线离线模式自如切换；</w:t>
            </w:r>
          </w:p>
          <w:p>
            <w:pPr>
              <w:widowControl/>
              <w:jc w:val="left"/>
            </w:pPr>
            <w:r>
              <w:t>3</w:t>
            </w:r>
            <w:r>
              <w:rPr>
                <w:rFonts w:hint="eastAsia"/>
              </w:rPr>
              <w:t>、</w:t>
            </w:r>
            <w:r>
              <w:t> 离线转写，录完成文，结果即刻保存。</w:t>
            </w:r>
          </w:p>
          <w:p>
            <w:pPr>
              <w:widowControl/>
              <w:jc w:val="left"/>
            </w:pPr>
            <w:r>
              <w:rPr>
                <w:rFonts w:hint="eastAsia" w:ascii="宋体" w:hAnsi="宋体" w:eastAsia="宋体" w:cs="宋体"/>
                <w:kern w:val="0"/>
                <w:sz w:val="20"/>
                <w:szCs w:val="20"/>
              </w:rPr>
              <w:t>★</w:t>
            </w:r>
            <w:r>
              <w:t>4</w:t>
            </w:r>
            <w:r>
              <w:rPr>
                <w:rFonts w:hint="eastAsia"/>
              </w:rPr>
              <w:t>、</w:t>
            </w:r>
            <w:r>
              <w:t>OCR文字识别；</w:t>
            </w:r>
          </w:p>
          <w:p>
            <w:pPr>
              <w:widowControl/>
              <w:jc w:val="left"/>
            </w:pPr>
            <w:r>
              <w:t>5</w:t>
            </w:r>
            <w:r>
              <w:rPr>
                <w:rFonts w:hint="eastAsia"/>
              </w:rPr>
              <w:t>、</w:t>
            </w:r>
            <w:r>
              <w:t>拍视频，添加字幕；</w:t>
            </w:r>
          </w:p>
          <w:p>
            <w:pPr>
              <w:widowControl/>
              <w:jc w:val="left"/>
            </w:pPr>
            <w:r>
              <w:t>6</w:t>
            </w:r>
            <w:r>
              <w:rPr>
                <w:rFonts w:hint="eastAsia"/>
              </w:rPr>
              <w:t>、</w:t>
            </w:r>
            <w:r>
              <w:t> 智能编辑，重点标注，多端分享/导出；</w:t>
            </w:r>
          </w:p>
          <w:p>
            <w:pPr>
              <w:widowControl/>
              <w:jc w:val="left"/>
            </w:pPr>
            <w:r>
              <w:t>7</w:t>
            </w:r>
            <w:r>
              <w:rPr>
                <w:rFonts w:hint="eastAsia"/>
              </w:rPr>
              <w:t>、</w:t>
            </w:r>
            <w:r>
              <w:t>边录边译，中英翻译；</w:t>
            </w:r>
          </w:p>
          <w:p>
            <w:pPr>
              <w:widowControl/>
              <w:jc w:val="left"/>
            </w:pPr>
            <w:r>
              <w:t>8</w:t>
            </w:r>
            <w:r>
              <w:rPr>
                <w:rFonts w:hint="eastAsia"/>
              </w:rPr>
              <w:t>、</w:t>
            </w:r>
            <w:r>
              <w:t>大容量电池，云端备份；</w:t>
            </w:r>
          </w:p>
          <w:p>
            <w:pPr>
              <w:widowControl/>
              <w:jc w:val="left"/>
              <w:rPr>
                <w:rFonts w:ascii="宋体" w:hAnsi="宋体" w:eastAsia="宋体" w:cs="宋体"/>
                <w:kern w:val="0"/>
                <w:sz w:val="20"/>
                <w:szCs w:val="20"/>
              </w:rPr>
            </w:pPr>
            <w:r>
              <w:t>9</w:t>
            </w:r>
            <w:r>
              <w:rPr>
                <w:rFonts w:hint="eastAsia"/>
              </w:rPr>
              <w:t>、</w:t>
            </w:r>
            <w:r>
              <w:t>玻璃背板设计</w:t>
            </w:r>
          </w:p>
        </w:tc>
        <w:tc>
          <w:tcPr>
            <w:tcW w:w="11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850" w:hRule="atLeast"/>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cs="宋体"/>
                <w:szCs w:val="21"/>
              </w:rPr>
              <w:t>商务条款</w:t>
            </w:r>
          </w:p>
        </w:tc>
        <w:tc>
          <w:tcPr>
            <w:tcW w:w="8649" w:type="dxa"/>
            <w:gridSpan w:val="5"/>
            <w:tcBorders>
              <w:top w:val="single" w:color="auto" w:sz="4" w:space="0"/>
              <w:left w:val="nil"/>
              <w:bottom w:val="single" w:color="auto" w:sz="4" w:space="0"/>
              <w:right w:val="single" w:color="auto" w:sz="4" w:space="0"/>
            </w:tcBorders>
            <w:shd w:val="clear" w:color="auto" w:fill="auto"/>
          </w:tcPr>
          <w:p>
            <w:pPr>
              <w:rPr>
                <w:rFonts w:ascii="宋体" w:hAnsi="宋体" w:cs="宋体"/>
                <w:szCs w:val="21"/>
              </w:rPr>
            </w:pPr>
            <w:r>
              <w:rPr>
                <w:rFonts w:hint="eastAsia" w:ascii="宋体" w:hAnsi="宋体" w:cs="宋体"/>
                <w:szCs w:val="21"/>
              </w:rPr>
              <w:t>一、合同签订期：自中标通知书发出之日起7个工作日内。</w:t>
            </w:r>
          </w:p>
          <w:p>
            <w:pPr>
              <w:widowControl/>
              <w:shd w:val="clear" w:color="auto" w:fill="FFFFFF"/>
              <w:rPr>
                <w:rFonts w:ascii="宋体" w:hAnsi="宋体" w:cs="宋体"/>
                <w:szCs w:val="21"/>
              </w:rPr>
            </w:pPr>
            <w:r>
              <w:rPr>
                <w:rFonts w:hint="eastAsia" w:ascii="宋体" w:hAnsi="宋体" w:cs="宋体"/>
                <w:szCs w:val="21"/>
              </w:rPr>
              <w:t>二、交货时间：自合同签订之日</w:t>
            </w:r>
            <w:r>
              <w:rPr>
                <w:rFonts w:hint="eastAsia" w:ascii="宋体" w:hAnsi="宋体" w:cs="宋体"/>
                <w:szCs w:val="21"/>
                <w:u w:val="single"/>
              </w:rPr>
              <w:t>起</w:t>
            </w:r>
            <w:r>
              <w:rPr>
                <w:rFonts w:hint="eastAsia" w:ascii="宋体" w:hAnsi="宋体" w:cs="宋体"/>
                <w:szCs w:val="21"/>
              </w:rPr>
              <w:t>15个工作日内供货并按指定位置要求完成安装和调试，投入正常使用。</w:t>
            </w:r>
          </w:p>
          <w:p>
            <w:pPr>
              <w:rPr>
                <w:rFonts w:ascii="宋体" w:hAnsi="宋体" w:cs="宋体"/>
                <w:szCs w:val="21"/>
              </w:rPr>
            </w:pPr>
            <w:r>
              <w:rPr>
                <w:rFonts w:hint="eastAsia" w:ascii="宋体" w:hAnsi="宋体" w:cs="宋体"/>
                <w:szCs w:val="21"/>
              </w:rPr>
              <w:t>三、交货地点：南宁市采购人指定地点</w:t>
            </w:r>
          </w:p>
          <w:p>
            <w:pPr>
              <w:widowControl/>
              <w:shd w:val="clear" w:color="auto" w:fill="FFFFFF"/>
              <w:rPr>
                <w:rFonts w:ascii="宋体" w:hAnsi="宋体" w:cs="宋体"/>
                <w:szCs w:val="21"/>
              </w:rPr>
            </w:pPr>
            <w:r>
              <w:rPr>
                <w:rFonts w:hint="eastAsia" w:ascii="宋体" w:hAnsi="宋体" w:cs="宋体"/>
                <w:szCs w:val="21"/>
              </w:rPr>
              <w:t>四、交货方式：现场交货</w:t>
            </w:r>
          </w:p>
          <w:p>
            <w:pPr>
              <w:widowControl/>
              <w:shd w:val="clear" w:color="auto" w:fill="FFFFFF"/>
              <w:rPr>
                <w:rFonts w:ascii="宋体" w:hAnsi="宋体" w:cs="宋体"/>
                <w:szCs w:val="21"/>
              </w:rPr>
            </w:pPr>
            <w:r>
              <w:rPr>
                <w:rFonts w:hint="eastAsia" w:ascii="宋体" w:hAnsi="宋体" w:cs="宋体"/>
                <w:szCs w:val="21"/>
              </w:rPr>
              <w:t>五、售后服务要求：</w:t>
            </w:r>
          </w:p>
          <w:p>
            <w:pPr>
              <w:widowControl/>
              <w:shd w:val="clear" w:color="auto" w:fill="FFFFFF"/>
              <w:rPr>
                <w:rFonts w:ascii="宋体" w:hAnsi="宋体" w:cs="宋体"/>
                <w:szCs w:val="21"/>
              </w:rPr>
            </w:pPr>
            <w:r>
              <w:rPr>
                <w:rFonts w:hint="eastAsia" w:ascii="宋体" w:hAnsi="宋体" w:cs="宋体"/>
                <w:szCs w:val="21"/>
              </w:rPr>
              <w:t>1、质保期：1年（自调试验收合格，并以双方最终验收报告签字日开始计算）；但是，部分产品及备件的质保期参照招标参数要求。</w:t>
            </w:r>
          </w:p>
          <w:p>
            <w:pPr>
              <w:widowControl/>
              <w:shd w:val="clear" w:color="auto" w:fill="FFFFFF"/>
              <w:rPr>
                <w:rFonts w:ascii="宋体" w:hAnsi="宋体" w:cs="宋体"/>
                <w:szCs w:val="21"/>
              </w:rPr>
            </w:pPr>
            <w:r>
              <w:rPr>
                <w:rFonts w:hint="eastAsia" w:ascii="宋体" w:hAnsi="宋体" w:cs="宋体"/>
                <w:szCs w:val="21"/>
              </w:rPr>
              <w:t>2、故障响应时间：中标单位接到故障通知后在 4小时内到达采购人指定现场。</w:t>
            </w:r>
          </w:p>
          <w:p>
            <w:pPr>
              <w:rPr>
                <w:rFonts w:ascii="宋体" w:hAnsi="宋体" w:cs="宋体"/>
                <w:szCs w:val="21"/>
              </w:rPr>
            </w:pPr>
            <w:r>
              <w:rPr>
                <w:rFonts w:hint="eastAsia" w:ascii="宋体" w:hAnsi="宋体" w:cs="宋体"/>
                <w:szCs w:val="21"/>
              </w:rPr>
              <w:t>六、其他要求：</w:t>
            </w:r>
          </w:p>
          <w:p>
            <w:pPr>
              <w:rPr>
                <w:rFonts w:ascii="宋体" w:hAnsi="宋体" w:cs="宋体"/>
                <w:szCs w:val="21"/>
              </w:rPr>
            </w:pPr>
            <w:r>
              <w:rPr>
                <w:rFonts w:hint="eastAsia" w:ascii="宋体" w:hAnsi="宋体" w:cs="宋体"/>
                <w:szCs w:val="21"/>
              </w:rPr>
              <w:t>1、投标报价为采购人指定地点的现场交货价，包括：</w:t>
            </w:r>
          </w:p>
          <w:p>
            <w:pPr>
              <w:rPr>
                <w:rFonts w:ascii="宋体" w:hAnsi="宋体" w:cs="宋体"/>
                <w:szCs w:val="21"/>
              </w:rPr>
            </w:pPr>
            <w:r>
              <w:rPr>
                <w:rFonts w:hint="eastAsia" w:ascii="宋体" w:hAnsi="宋体" w:cs="宋体"/>
                <w:szCs w:val="21"/>
              </w:rPr>
              <w:t>（1）货物及标准附件、备品备件、专用工具的价格；</w:t>
            </w:r>
          </w:p>
          <w:p>
            <w:pPr>
              <w:rPr>
                <w:rFonts w:ascii="宋体" w:hAnsi="宋体" w:cs="宋体"/>
                <w:szCs w:val="21"/>
              </w:rPr>
            </w:pPr>
            <w:r>
              <w:rPr>
                <w:rFonts w:hint="eastAsia" w:ascii="宋体" w:hAnsi="宋体" w:cs="宋体"/>
                <w:szCs w:val="21"/>
              </w:rPr>
              <w:t>（2）运输、装卸、调试、培训、技术支持、售后服务等费用；</w:t>
            </w:r>
          </w:p>
          <w:p>
            <w:pPr>
              <w:rPr>
                <w:rFonts w:ascii="宋体" w:hAnsi="宋体" w:cs="宋体"/>
                <w:szCs w:val="21"/>
              </w:rPr>
            </w:pPr>
            <w:r>
              <w:rPr>
                <w:rFonts w:hint="eastAsia" w:ascii="宋体" w:hAnsi="宋体" w:cs="宋体"/>
                <w:szCs w:val="21"/>
              </w:rPr>
              <w:t>（3）必要的保险费用和各项税费；</w:t>
            </w:r>
          </w:p>
          <w:p>
            <w:pPr>
              <w:rPr>
                <w:rFonts w:ascii="宋体" w:hAnsi="宋体" w:cs="宋体"/>
                <w:szCs w:val="21"/>
              </w:rPr>
            </w:pPr>
            <w:r>
              <w:rPr>
                <w:rFonts w:hint="eastAsia" w:ascii="宋体" w:hAnsi="宋体" w:cs="宋体"/>
                <w:szCs w:val="21"/>
              </w:rPr>
              <w:t>（4）包括安装和调试费用。</w:t>
            </w:r>
          </w:p>
          <w:p>
            <w:pPr>
              <w:widowControl/>
              <w:shd w:val="clear" w:color="auto" w:fill="FFFFFF"/>
              <w:rPr>
                <w:rFonts w:ascii="宋体" w:hAnsi="宋体" w:cs="宋体"/>
                <w:szCs w:val="21"/>
              </w:rPr>
            </w:pPr>
            <w:r>
              <w:rPr>
                <w:rFonts w:hint="eastAsia" w:ascii="宋体" w:hAnsi="宋体" w:cs="宋体"/>
                <w:szCs w:val="21"/>
              </w:rPr>
              <w:t>（5）供货到场时间：按要求供货到现场（包括包装、卸货）及安装调试。如果不能按进度要求供货，采购人有权解除合同，由此引起的全部责任由中标单位负责。</w:t>
            </w:r>
          </w:p>
          <w:p>
            <w:pPr>
              <w:rPr>
                <w:rFonts w:ascii="宋体" w:hAnsi="宋体" w:cs="宋体"/>
                <w:szCs w:val="21"/>
              </w:rPr>
            </w:pPr>
            <w:r>
              <w:rPr>
                <w:rFonts w:hint="eastAsia" w:ascii="宋体" w:hAnsi="宋体" w:cs="宋体"/>
                <w:szCs w:val="21"/>
              </w:rPr>
              <w:t>2、付款方式：本项目无预付款，中标单位交货完毕且安装调试验收合格后付清货款。采购人付款前，中标单位应将同等金额的合法、有效增值税专用发票开具给采购人，否则，采购人可以顺延付款。</w:t>
            </w:r>
          </w:p>
          <w:p>
            <w:pPr>
              <w:widowControl/>
              <w:shd w:val="clear" w:color="auto" w:fill="FFFFFF"/>
              <w:rPr>
                <w:rFonts w:ascii="宋体" w:hAnsi="宋体" w:cs="宋体"/>
                <w:kern w:val="0"/>
                <w:szCs w:val="21"/>
              </w:rPr>
            </w:pPr>
            <w:r>
              <w:rPr>
                <w:rFonts w:hint="eastAsia" w:ascii="宋体" w:hAnsi="宋体" w:cs="宋体"/>
                <w:szCs w:val="21"/>
              </w:rPr>
              <w:t>3、验收方法及方案：交货时，所有产品均严格按招标文件上的技术参数实质要求交货，采购人按中标单位响应和承诺的技术参数及性能等有关标准进行验收，如中标单位提供所投产品的参数、指标等未满足招标文件要求时，将不予验收并被视为虚假应标，</w:t>
            </w:r>
            <w:r>
              <w:rPr>
                <w:rFonts w:hint="eastAsia" w:ascii="宋体" w:hAnsi="宋体" w:cs="宋体"/>
                <w:kern w:val="0"/>
                <w:szCs w:val="21"/>
              </w:rPr>
              <w:t>采购人追究中标单位虚假应标的法律责任。</w:t>
            </w:r>
          </w:p>
          <w:p>
            <w:pPr>
              <w:widowControl/>
              <w:shd w:val="clear" w:color="auto" w:fill="FFFFFF"/>
              <w:rPr>
                <w:rFonts w:ascii="宋体" w:hAnsi="宋体" w:cs="宋体"/>
                <w:szCs w:val="21"/>
              </w:rPr>
            </w:pPr>
            <w:r>
              <w:rPr>
                <w:rFonts w:hint="eastAsia" w:ascii="宋体" w:hAnsi="宋体" w:cs="宋体"/>
                <w:szCs w:val="21"/>
              </w:rPr>
              <w:t>4、报价人须承诺逾期交货的，每天向采购人偿付货款额5‰</w:t>
            </w:r>
            <w:r>
              <w:rPr>
                <w:rFonts w:hint="eastAsia" w:ascii="宋体" w:hAnsi="宋体" w:cs="宋体"/>
                <w:szCs w:val="21"/>
                <w:u w:val="single"/>
              </w:rPr>
              <w:t>的</w:t>
            </w:r>
            <w:r>
              <w:rPr>
                <w:rFonts w:hint="eastAsia" w:ascii="宋体" w:hAnsi="宋体" w:cs="宋体"/>
                <w:szCs w:val="21"/>
              </w:rPr>
              <w:t>违约金，中标单位逾期超过双方合同约定交货日期五天不能交货的，采购人有权解除合同。给采购人造成的所有经济损失由中标单位全部承担。</w:t>
            </w:r>
          </w:p>
          <w:p>
            <w:pPr>
              <w:widowControl/>
              <w:shd w:val="clear" w:color="auto" w:fill="FFFFFF"/>
              <w:jc w:val="left"/>
              <w:rPr>
                <w:rFonts w:ascii="宋体" w:hAnsi="宋体" w:cs="宋体"/>
                <w:szCs w:val="21"/>
              </w:rPr>
            </w:pPr>
            <w:r>
              <w:rPr>
                <w:rFonts w:hint="eastAsia" w:ascii="宋体" w:hAnsi="宋体" w:cs="宋体"/>
                <w:szCs w:val="21"/>
              </w:rPr>
              <w:t>5、中标单位应当保证其所提供的产品为符合国家知识产权法律法规要求的正规合法本地渠道正版产品，交货时中标单位必须提供</w:t>
            </w:r>
            <w:r>
              <w:rPr>
                <w:rFonts w:hint="eastAsia" w:ascii="宋体" w:hAnsi="宋体"/>
                <w:b/>
                <w:bCs/>
              </w:rPr>
              <w:t>，</w:t>
            </w:r>
            <w:r>
              <w:rPr>
                <w:rFonts w:hint="eastAsia" w:ascii="宋体" w:hAnsi="宋体" w:cs="宋体"/>
                <w:szCs w:val="21"/>
              </w:rPr>
              <w:t>产品生产厂家出具的售后服务承诺函，以上材料不全者，视为产品验收不合格，采购单位有权不予验收。</w:t>
            </w:r>
          </w:p>
          <w:p>
            <w:pPr>
              <w:widowControl/>
              <w:jc w:val="left"/>
              <w:rPr>
                <w:rFonts w:ascii="宋体" w:hAnsi="宋体" w:eastAsia="宋体" w:cs="宋体"/>
                <w:kern w:val="0"/>
                <w:sz w:val="24"/>
                <w:szCs w:val="24"/>
              </w:rPr>
            </w:pPr>
            <w:r>
              <w:rPr>
                <w:rFonts w:hint="eastAsia" w:ascii="宋体" w:hAnsi="宋体" w:cs="宋体"/>
                <w:szCs w:val="21"/>
              </w:rPr>
              <w:t>超过采购预算的投标为无效投标。</w:t>
            </w:r>
          </w:p>
        </w:tc>
      </w:tr>
    </w:tbl>
    <w:p>
      <w:pPr>
        <w:spacing w:line="320" w:lineRule="exact"/>
        <w:ind w:firstLine="420" w:firstLineChars="200"/>
      </w:pPr>
    </w:p>
    <w:p>
      <w:pPr>
        <w:pStyle w:val="9"/>
        <w:jc w:val="center"/>
        <w:outlineLvl w:val="0"/>
        <w:rPr>
          <w:rFonts w:ascii="Times New Roman" w:hAnsi="Times New Roman"/>
          <w:b/>
          <w:sz w:val="36"/>
        </w:rPr>
      </w:pPr>
      <w:r>
        <w:rPr>
          <w:rFonts w:ascii="Times New Roman" w:hAnsi="Times New Roman"/>
          <w:b/>
          <w:sz w:val="36"/>
        </w:rPr>
        <w:br w:type="page"/>
      </w:r>
      <w:bookmarkStart w:id="9" w:name="_Toc503169366"/>
      <w:bookmarkStart w:id="10" w:name="_Toc503169367"/>
      <w:r>
        <w:rPr>
          <w:rFonts w:hint="eastAsia" w:ascii="Times New Roman" w:hAnsi="Times New Roman"/>
          <w:b/>
          <w:sz w:val="36"/>
        </w:rPr>
        <w:t>第三章评标方法</w:t>
      </w:r>
      <w:bookmarkEnd w:id="9"/>
    </w:p>
    <w:p>
      <w:pPr>
        <w:pStyle w:val="9"/>
        <w:jc w:val="center"/>
        <w:outlineLvl w:val="0"/>
        <w:rPr>
          <w:b/>
          <w:bCs/>
          <w:sz w:val="36"/>
        </w:rPr>
      </w:pPr>
    </w:p>
    <w:p>
      <w:pPr>
        <w:pStyle w:val="9"/>
        <w:spacing w:line="360" w:lineRule="auto"/>
        <w:ind w:firstLine="630" w:firstLineChars="300"/>
        <w:rPr>
          <w:rFonts w:hAnsi="宋体"/>
          <w:szCs w:val="21"/>
        </w:rPr>
      </w:pPr>
      <w:r>
        <w:rPr>
          <w:rFonts w:hint="eastAsia" w:hAnsi="宋体"/>
          <w:szCs w:val="21"/>
        </w:rPr>
        <w:t>本次评标采用最低价评审法</w:t>
      </w:r>
    </w:p>
    <w:p>
      <w:pPr>
        <w:pStyle w:val="9"/>
        <w:jc w:val="center"/>
        <w:outlineLvl w:val="0"/>
        <w:rPr>
          <w:rFonts w:ascii="Times New Roman" w:hAnsi="Times New Roman"/>
          <w:b/>
          <w:sz w:val="36"/>
        </w:rPr>
      </w:pPr>
      <w:r>
        <w:rPr>
          <w:rFonts w:hint="eastAsia" w:hAnsi="宋体"/>
          <w:szCs w:val="21"/>
        </w:rPr>
        <w:t>评标委员会以招标文件为依据，对投标人的响应文件进行评审，从全部满足招标文件实质性响应要求的投标人中，按照投标人的投标报价由低到高的顺序（投标报价相同时，依次按技术指标高优先、质量保证期长优先、交货期短优先、维护响应时间短优先的顺序排列；投标报价相同且前述指标均相同时，由评标委员会各成员对投标报价相同的供应商当场投票表决，得票多者优先；按前述程序仍无法确定供应商排名顺序的，由评标委员会组长抽签决定）提出中标候选人。</w:t>
      </w: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ascii="Times New Roman" w:hAnsi="Times New Roman"/>
          <w:b/>
          <w:sz w:val="36"/>
        </w:rPr>
      </w:pPr>
    </w:p>
    <w:p>
      <w:pPr>
        <w:pStyle w:val="9"/>
        <w:jc w:val="center"/>
        <w:outlineLvl w:val="0"/>
        <w:rPr>
          <w:rFonts w:hAnsi="宋体"/>
          <w:b/>
          <w:sz w:val="36"/>
          <w:szCs w:val="36"/>
        </w:rPr>
      </w:pPr>
      <w:r>
        <w:rPr>
          <w:rFonts w:hint="eastAsia" w:ascii="Times New Roman" w:hAnsi="Times New Roman"/>
          <w:b/>
          <w:sz w:val="36"/>
        </w:rPr>
        <w:t>第四章投标人须知</w:t>
      </w:r>
      <w:bookmarkEnd w:id="10"/>
    </w:p>
    <w:p>
      <w:pPr>
        <w:pStyle w:val="9"/>
        <w:spacing w:line="720" w:lineRule="auto"/>
        <w:jc w:val="center"/>
        <w:rPr>
          <w:rFonts w:ascii="Times New Roman" w:hAnsi="Times New Roman"/>
          <w:b/>
          <w:sz w:val="30"/>
          <w:szCs w:val="30"/>
        </w:rPr>
      </w:pPr>
      <w:r>
        <w:rPr>
          <w:rFonts w:hint="eastAsia" w:ascii="Times New Roman" w:hAnsi="Times New Roman"/>
          <w:b/>
          <w:sz w:val="30"/>
          <w:szCs w:val="30"/>
        </w:rPr>
        <w:t>投标人须知前附表</w:t>
      </w:r>
    </w:p>
    <w:tbl>
      <w:tblPr>
        <w:tblStyle w:val="21"/>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3242"/>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b/>
                <w:szCs w:val="21"/>
              </w:rPr>
            </w:pPr>
            <w:r>
              <w:rPr>
                <w:rFonts w:hint="eastAsia" w:hAnsi="宋体"/>
                <w:b/>
                <w:szCs w:val="21"/>
              </w:rPr>
              <w:t>条款号</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b/>
                <w:szCs w:val="21"/>
              </w:rPr>
            </w:pPr>
            <w:r>
              <w:rPr>
                <w:rFonts w:hint="eastAsia" w:hAnsi="宋体"/>
                <w:b/>
                <w:szCs w:val="21"/>
              </w:rPr>
              <w:t>条款名称</w:t>
            </w:r>
          </w:p>
        </w:tc>
        <w:tc>
          <w:tcPr>
            <w:tcW w:w="5422" w:type="dxa"/>
            <w:tcBorders>
              <w:top w:val="single" w:color="auto" w:sz="4" w:space="0"/>
              <w:left w:val="single" w:color="auto" w:sz="4" w:space="0"/>
              <w:bottom w:val="single" w:color="auto" w:sz="4" w:space="0"/>
              <w:right w:val="single" w:color="auto" w:sz="4" w:space="0"/>
            </w:tcBorders>
          </w:tcPr>
          <w:p>
            <w:pPr>
              <w:pStyle w:val="9"/>
              <w:jc w:val="center"/>
              <w:rPr>
                <w:rFonts w:hAnsi="宋体"/>
                <w:b/>
                <w:szCs w:val="21"/>
              </w:rPr>
            </w:pPr>
            <w:r>
              <w:rPr>
                <w:rFonts w:hint="eastAsia" w:hAnsi="宋体"/>
                <w:b/>
                <w:szCs w:val="21"/>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1.1</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采购人</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hAnsi="宋体"/>
                <w:szCs w:val="21"/>
              </w:rPr>
              <w:t>名称：南宁交通投资集团有限责任公司</w:t>
            </w:r>
          </w:p>
          <w:p>
            <w:pPr>
              <w:pStyle w:val="9"/>
              <w:rPr>
                <w:rFonts w:hAnsi="宋体"/>
                <w:szCs w:val="21"/>
              </w:rPr>
            </w:pPr>
            <w:r>
              <w:rPr>
                <w:rFonts w:hint="eastAsia" w:hAnsi="宋体"/>
                <w:szCs w:val="21"/>
              </w:rPr>
              <w:t>地址：南宁市青秀区站南东路2号南宁交投</w:t>
            </w:r>
          </w:p>
          <w:p>
            <w:pPr>
              <w:pStyle w:val="9"/>
              <w:rPr>
                <w:rFonts w:hAnsi="宋体"/>
                <w:szCs w:val="21"/>
              </w:rPr>
            </w:pPr>
            <w:r>
              <w:rPr>
                <w:rFonts w:hint="eastAsia" w:hAnsi="宋体"/>
                <w:szCs w:val="21"/>
              </w:rPr>
              <w:t>联系人：孙工</w:t>
            </w:r>
          </w:p>
          <w:p>
            <w:pPr>
              <w:pStyle w:val="9"/>
              <w:rPr>
                <w:rFonts w:hAnsi="宋体"/>
                <w:szCs w:val="21"/>
              </w:rPr>
            </w:pPr>
            <w:r>
              <w:rPr>
                <w:rFonts w:hint="eastAsia" w:hAnsi="宋体"/>
                <w:szCs w:val="21"/>
              </w:rPr>
              <w:t>联系电话：</w:t>
            </w:r>
            <w:r>
              <w:rPr>
                <w:rFonts w:hAnsi="宋体"/>
                <w:szCs w:val="21"/>
              </w:rPr>
              <w:t>0771-</w:t>
            </w:r>
            <w:r>
              <w:rPr>
                <w:rFonts w:hint="eastAsia" w:hAnsi="宋体"/>
                <w:szCs w:val="21"/>
              </w:rPr>
              <w:t>2805236</w:t>
            </w:r>
          </w:p>
          <w:p>
            <w:pPr>
              <w:pStyle w:val="9"/>
              <w:rPr>
                <w:rFonts w:hAnsi="宋体"/>
                <w:szCs w:val="21"/>
              </w:rPr>
            </w:pPr>
            <w:r>
              <w:rPr>
                <w:rFonts w:hint="eastAsia" w:hAnsi="宋体"/>
                <w:szCs w:val="21"/>
              </w:rPr>
              <w:t>传真电话：</w:t>
            </w:r>
            <w:r>
              <w:rPr>
                <w:rFonts w:hAnsi="宋体"/>
                <w:szCs w:val="21"/>
              </w:rPr>
              <w:t>0771-</w:t>
            </w:r>
            <w:r>
              <w:rPr>
                <w:rFonts w:hint="eastAsia" w:hAnsi="宋体"/>
                <w:szCs w:val="21"/>
              </w:rPr>
              <w:t>5689389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1.2</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项目名称</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szCs w:val="24"/>
              </w:rPr>
              <w:t>南宁交通投资集团有限责任公司2020年第二批办公设备采购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1.3</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项目编号</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hAnsi="宋体"/>
                <w:szCs w:val="21"/>
              </w:rPr>
              <w:t>交投DEPBGSBCG-2020-12-002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1.4</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采购预算</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bookmarkStart w:id="11" w:name="CgwjmbEntity：yszj_0"/>
            <w:r>
              <w:rPr>
                <w:rFonts w:hint="eastAsia" w:hAnsi="宋体"/>
                <w:szCs w:val="21"/>
              </w:rPr>
              <w:t>22.6</w:t>
            </w:r>
            <w:r>
              <w:rPr>
                <w:rFonts w:hint="eastAsia"/>
                <w:szCs w:val="24"/>
              </w:rPr>
              <w:t>万元</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jc w:val="center"/>
              <w:rPr>
                <w:szCs w:val="24"/>
              </w:rPr>
            </w:pPr>
            <w:r>
              <w:rPr>
                <w:rFonts w:hint="eastAsia"/>
                <w:szCs w:val="24"/>
              </w:rPr>
              <w:t>1.5</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szCs w:val="24"/>
              </w:rPr>
            </w:pPr>
            <w:r>
              <w:rPr>
                <w:rFonts w:hint="eastAsia" w:hAnsi="宋体"/>
                <w:szCs w:val="21"/>
              </w:rPr>
              <w:t>报名的时间、地点、方式及招标文件获取、报名要求</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jc w:val="left"/>
              <w:rPr>
                <w:rFonts w:hAnsi="宋体"/>
                <w:bCs/>
                <w:szCs w:val="24"/>
              </w:rPr>
            </w:pPr>
            <w:r>
              <w:rPr>
                <w:rFonts w:hint="eastAsia" w:hAnsi="宋体"/>
                <w:bCs/>
                <w:szCs w:val="24"/>
              </w:rPr>
              <w:t>1、</w:t>
            </w:r>
            <w:r>
              <w:rPr>
                <w:rFonts w:hint="eastAsia" w:hAnsi="宋体"/>
                <w:szCs w:val="21"/>
              </w:rPr>
              <w:t>报名的</w:t>
            </w:r>
            <w:r>
              <w:rPr>
                <w:rFonts w:hint="eastAsia" w:hAnsi="宋体"/>
                <w:bCs/>
                <w:szCs w:val="24"/>
              </w:rPr>
              <w:t>时间、地点：</w:t>
            </w:r>
          </w:p>
          <w:p>
            <w:pPr>
              <w:pStyle w:val="9"/>
              <w:jc w:val="left"/>
              <w:rPr>
                <w:rFonts w:hAnsi="宋体"/>
                <w:bCs/>
                <w:szCs w:val="24"/>
              </w:rPr>
            </w:pPr>
            <w:r>
              <w:rPr>
                <w:rFonts w:hint="eastAsia" w:hAnsi="宋体"/>
                <w:bCs/>
                <w:szCs w:val="24"/>
              </w:rPr>
              <w:t>时间：2020年</w:t>
            </w:r>
            <w:r>
              <w:rPr>
                <w:rFonts w:hint="eastAsia" w:hAnsi="宋体"/>
                <w:bCs/>
                <w:szCs w:val="24"/>
                <w:lang w:val="en-US" w:eastAsia="zh-CN"/>
              </w:rPr>
              <w:t>12</w:t>
            </w:r>
            <w:r>
              <w:rPr>
                <w:rFonts w:hint="eastAsia" w:hAnsi="宋体"/>
                <w:bCs/>
                <w:szCs w:val="24"/>
              </w:rPr>
              <w:t>月</w:t>
            </w:r>
            <w:r>
              <w:rPr>
                <w:rFonts w:hint="eastAsia" w:hAnsi="宋体"/>
                <w:bCs/>
                <w:szCs w:val="24"/>
                <w:lang w:val="en-US" w:eastAsia="zh-CN"/>
              </w:rPr>
              <w:t>14</w:t>
            </w:r>
            <w:r>
              <w:rPr>
                <w:rFonts w:hint="eastAsia" w:hAnsi="宋体"/>
                <w:bCs/>
                <w:szCs w:val="24"/>
              </w:rPr>
              <w:t>日至 2020年</w:t>
            </w:r>
            <w:r>
              <w:rPr>
                <w:rFonts w:hint="eastAsia" w:hAnsi="宋体"/>
                <w:bCs/>
                <w:szCs w:val="24"/>
                <w:lang w:val="en-US" w:eastAsia="zh-CN"/>
              </w:rPr>
              <w:t>12</w:t>
            </w:r>
            <w:r>
              <w:rPr>
                <w:rFonts w:hint="eastAsia" w:hAnsi="宋体"/>
                <w:bCs/>
                <w:szCs w:val="24"/>
              </w:rPr>
              <w:t>月</w:t>
            </w:r>
            <w:r>
              <w:rPr>
                <w:rFonts w:hint="eastAsia" w:hAnsi="宋体"/>
                <w:bCs/>
                <w:szCs w:val="24"/>
                <w:lang w:val="en-US" w:eastAsia="zh-CN"/>
              </w:rPr>
              <w:t>18</w:t>
            </w:r>
            <w:r>
              <w:rPr>
                <w:rFonts w:hint="eastAsia" w:hAnsi="宋体"/>
                <w:bCs/>
                <w:szCs w:val="24"/>
              </w:rPr>
              <w:t>日上午</w:t>
            </w:r>
            <w:r>
              <w:rPr>
                <w:rFonts w:hint="eastAsia" w:hAnsi="宋体"/>
                <w:bCs/>
                <w:szCs w:val="24"/>
                <w:lang w:val="en-US" w:eastAsia="zh-CN"/>
              </w:rPr>
              <w:t>9:00</w:t>
            </w:r>
            <w:bookmarkStart w:id="23" w:name="_GoBack"/>
            <w:bookmarkEnd w:id="23"/>
            <w:r>
              <w:rPr>
                <w:rFonts w:hint="eastAsia" w:hAnsi="宋体"/>
                <w:bCs/>
                <w:szCs w:val="24"/>
              </w:rPr>
              <w:t>至11:30，下午15:30至17:00（正常工作时间）。</w:t>
            </w:r>
          </w:p>
          <w:p>
            <w:pPr>
              <w:pStyle w:val="9"/>
              <w:jc w:val="left"/>
              <w:rPr>
                <w:rFonts w:hAnsi="宋体"/>
                <w:bCs/>
                <w:szCs w:val="24"/>
              </w:rPr>
            </w:pPr>
            <w:r>
              <w:rPr>
                <w:rFonts w:hint="eastAsia" w:hAnsi="宋体"/>
                <w:bCs/>
                <w:szCs w:val="24"/>
              </w:rPr>
              <w:t>地点：南宁交通投资集团有限责任公司（南宁市青秀区站南东路2号南宁交投2001室）</w:t>
            </w:r>
          </w:p>
          <w:p>
            <w:pPr>
              <w:pStyle w:val="9"/>
              <w:jc w:val="left"/>
              <w:rPr>
                <w:rFonts w:hAnsi="宋体"/>
                <w:bCs/>
                <w:szCs w:val="24"/>
              </w:rPr>
            </w:pPr>
            <w:r>
              <w:rPr>
                <w:rFonts w:hint="eastAsia" w:hAnsi="宋体"/>
                <w:bCs/>
                <w:szCs w:val="24"/>
              </w:rPr>
              <w:t>2、报名所需提交材料：营业执照副本复印件、法人委托书原件和受托人身份证复印件、法人身份证复印件、</w:t>
            </w:r>
            <w:r>
              <w:rPr>
                <w:rFonts w:hint="eastAsia" w:hAnsi="宋体"/>
              </w:rPr>
              <w:t>缴纳投标保证金银行凭证</w:t>
            </w:r>
            <w:r>
              <w:rPr>
                <w:rFonts w:hint="eastAsia" w:hAnsi="宋体"/>
                <w:bCs/>
                <w:szCs w:val="24"/>
              </w:rPr>
              <w:t>。</w:t>
            </w:r>
          </w:p>
          <w:p>
            <w:pPr>
              <w:pStyle w:val="9"/>
              <w:jc w:val="left"/>
              <w:rPr>
                <w:rFonts w:hAnsi="宋体"/>
                <w:bCs/>
                <w:szCs w:val="24"/>
              </w:rPr>
            </w:pPr>
            <w:r>
              <w:rPr>
                <w:rFonts w:hint="eastAsia" w:hAnsi="宋体"/>
                <w:bCs/>
                <w:szCs w:val="24"/>
              </w:rPr>
              <w:t>3、</w:t>
            </w:r>
            <w:r>
              <w:rPr>
                <w:rFonts w:hint="eastAsia" w:hAnsi="宋体"/>
                <w:szCs w:val="21"/>
              </w:rPr>
              <w:t>招标文件获取：http://www.nnjtjt.com/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3.2</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bCs/>
                <w:szCs w:val="24"/>
              </w:rPr>
              <w:t>投标人应具备的特定条件</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bCs/>
                <w:szCs w:val="24"/>
              </w:rPr>
            </w:pPr>
            <w:r>
              <w:rPr>
                <w:rFonts w:hint="eastAsia"/>
                <w:bCs/>
                <w:szCs w:val="24"/>
              </w:rPr>
              <w:t>1.具有国内法人资格，注册经营范围满足采购内容的供应商。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3.3</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是否接受联合体投标</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bookmarkStart w:id="12" w:name="CgwjmbEntity：sflhttb_0"/>
            <w:r>
              <w:rPr>
                <w:rFonts w:hint="eastAsia" w:hAnsi="宋体"/>
                <w:szCs w:val="21"/>
              </w:rPr>
              <w:t>不接受联合体投标</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4.2</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质疑受理单位、提交地点和电话</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szCs w:val="24"/>
              </w:rPr>
            </w:pPr>
            <w:r>
              <w:rPr>
                <w:rFonts w:hint="eastAsia" w:hAnsi="宋体"/>
                <w:szCs w:val="24"/>
              </w:rPr>
              <w:t>地点：</w:t>
            </w:r>
            <w:r>
              <w:rPr>
                <w:rFonts w:hint="eastAsia"/>
                <w:szCs w:val="24"/>
              </w:rPr>
              <w:t>南宁市青秀区站南东路2号南宁交投2001室</w:t>
            </w:r>
          </w:p>
          <w:p>
            <w:pPr>
              <w:pStyle w:val="9"/>
              <w:rPr>
                <w:rFonts w:hAnsi="宋体"/>
                <w:szCs w:val="21"/>
                <w:u w:val="single"/>
              </w:rPr>
            </w:pPr>
            <w:r>
              <w:rPr>
                <w:rFonts w:hint="eastAsia"/>
              </w:rPr>
              <w:t>电话：</w:t>
            </w:r>
            <w:r>
              <w:t>0771-</w:t>
            </w:r>
            <w:r>
              <w:rPr>
                <w:rFonts w:hint="eastAsia"/>
              </w:rPr>
              <w:t>2805236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7.1</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cs="宋体"/>
                <w:kern w:val="0"/>
                <w:szCs w:val="21"/>
              </w:rPr>
              <w:t>投标人要求澄清的截止时间</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hAnsi="宋体"/>
                <w:szCs w:val="21"/>
              </w:rPr>
              <w:t>招标文件发布之日起7个工作日内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8.8</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投标文件份数</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hAnsi="宋体"/>
                <w:szCs w:val="21"/>
              </w:rPr>
              <w:t>报价文件：正本1份，副本4份</w:t>
            </w:r>
          </w:p>
          <w:p>
            <w:pPr>
              <w:pStyle w:val="9"/>
              <w:rPr>
                <w:rFonts w:hAnsi="宋体"/>
                <w:szCs w:val="21"/>
              </w:rPr>
            </w:pPr>
            <w:r>
              <w:rPr>
                <w:rFonts w:hint="eastAsia" w:hAnsi="宋体"/>
                <w:szCs w:val="21"/>
              </w:rPr>
              <w:t>资格文件：正本1份，副本4份</w:t>
            </w:r>
          </w:p>
          <w:p>
            <w:pPr>
              <w:pStyle w:val="9"/>
              <w:rPr>
                <w:rFonts w:hAnsi="宋体"/>
                <w:szCs w:val="21"/>
              </w:rPr>
            </w:pPr>
            <w:r>
              <w:rPr>
                <w:rFonts w:hint="eastAsia" w:hAnsi="宋体"/>
                <w:szCs w:val="21"/>
              </w:rPr>
              <w:t>技术文件：正本1份，副本4份</w:t>
            </w:r>
          </w:p>
          <w:p>
            <w:pPr>
              <w:pStyle w:val="9"/>
              <w:rPr>
                <w:rFonts w:hAnsi="宋体"/>
                <w:szCs w:val="21"/>
              </w:rPr>
            </w:pPr>
            <w:r>
              <w:rPr>
                <w:rFonts w:hint="eastAsia" w:hAnsi="宋体"/>
                <w:szCs w:val="21"/>
              </w:rPr>
              <w:t>商务文件：正本1份，副本4份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w:t>
            </w:r>
            <w:r>
              <w:rPr>
                <w:rFonts w:hAnsi="宋体"/>
                <w:szCs w:val="21"/>
              </w:rPr>
              <w:t>0.1.1</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报价文件组成要求</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hAnsi="宋体"/>
                <w:szCs w:val="21"/>
              </w:rPr>
              <w:t>1、投标函：按第五章“投标文件格式”提供的“投标函（格式）”的要求填写；</w:t>
            </w:r>
          </w:p>
          <w:p>
            <w:pPr>
              <w:pStyle w:val="9"/>
              <w:rPr>
                <w:rFonts w:hAnsi="宋体"/>
                <w:szCs w:val="21"/>
              </w:rPr>
            </w:pPr>
            <w:r>
              <w:rPr>
                <w:rFonts w:hint="eastAsia" w:hAnsi="宋体"/>
                <w:szCs w:val="21"/>
              </w:rPr>
              <w:t>2、投标报价表：按第五章“投标文件格式”提供的“投标报价表（格式）”的要求填写。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12.1</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投标有效期</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hAnsi="宋体"/>
                <w:szCs w:val="21"/>
              </w:rPr>
              <w:t>自投标截止时间起60天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9"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13.1</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投标保证金金额</w:t>
            </w:r>
          </w:p>
        </w:tc>
        <w:tc>
          <w:tcPr>
            <w:tcW w:w="5422" w:type="dxa"/>
            <w:tcBorders>
              <w:top w:val="single" w:color="auto" w:sz="4" w:space="0"/>
              <w:left w:val="single" w:color="auto" w:sz="4" w:space="0"/>
              <w:bottom w:val="single" w:color="auto" w:sz="4" w:space="0"/>
              <w:right w:val="single" w:color="auto" w:sz="4" w:space="0"/>
            </w:tcBorders>
            <w:vAlign w:val="center"/>
          </w:tcPr>
          <w:p>
            <w:r>
              <w:rPr>
                <w:rFonts w:hint="eastAsia"/>
              </w:rPr>
              <w:t>投标保证金的形式：银行转账</w:t>
            </w:r>
          </w:p>
          <w:p>
            <w:r>
              <w:rPr>
                <w:rFonts w:hint="eastAsia"/>
              </w:rPr>
              <w:t>投标保证金的金额：5000元</w:t>
            </w:r>
          </w:p>
          <w:p>
            <w:r>
              <w:rPr>
                <w:rFonts w:hint="eastAsia"/>
              </w:rPr>
              <w:t>递交方式：</w:t>
            </w:r>
          </w:p>
          <w:p>
            <w:r>
              <w:rPr>
                <w:rFonts w:hint="eastAsia"/>
              </w:rPr>
              <w:t>采用银行转账方式，必须从投标人的基本账户转账到以下指定的投标保证金专用账户（以</w:t>
            </w:r>
            <w:r>
              <w:rPr>
                <w:rFonts w:hint="eastAsia"/>
                <w:u w:val="single"/>
              </w:rPr>
              <w:t>银行确认的</w:t>
            </w:r>
            <w:r>
              <w:rPr>
                <w:rFonts w:hint="eastAsia"/>
              </w:rPr>
              <w:t>到账时间为准）。</w:t>
            </w:r>
          </w:p>
          <w:p>
            <w:r>
              <w:rPr>
                <w:rFonts w:hint="eastAsia"/>
              </w:rPr>
              <w:t>账户名称：南宁交通投资集团有限责任公司</w:t>
            </w:r>
          </w:p>
          <w:p>
            <w:r>
              <w:rPr>
                <w:rFonts w:hint="eastAsia"/>
              </w:rPr>
              <w:t>开户银行：工行南宁新城支行</w:t>
            </w:r>
          </w:p>
          <w:p>
            <w:r>
              <w:rPr>
                <w:rFonts w:hint="eastAsia"/>
              </w:rPr>
              <w:t>银行账号：2102103019300163393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13.3</w:t>
            </w:r>
          </w:p>
        </w:tc>
        <w:tc>
          <w:tcPr>
            <w:tcW w:w="324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rPr>
              <w:t>未中标单位投标保证金的退付</w:t>
            </w:r>
          </w:p>
        </w:tc>
        <w:tc>
          <w:tcPr>
            <w:tcW w:w="5422" w:type="dxa"/>
            <w:tcBorders>
              <w:top w:val="single" w:color="auto" w:sz="4" w:space="0"/>
              <w:left w:val="single" w:color="auto" w:sz="4" w:space="0"/>
              <w:bottom w:val="single" w:color="auto" w:sz="4" w:space="0"/>
              <w:right w:val="single" w:color="auto" w:sz="4" w:space="0"/>
            </w:tcBorders>
          </w:tcPr>
          <w:p>
            <w:pPr>
              <w:pStyle w:val="9"/>
              <w:rPr>
                <w:rFonts w:hAnsi="宋体"/>
                <w:szCs w:val="24"/>
              </w:rPr>
            </w:pPr>
            <w:r>
              <w:rPr>
                <w:rFonts w:hint="eastAsia"/>
                <w:szCs w:val="20"/>
              </w:rPr>
              <w:t>中标结果公布后5个工作日内凭采购人开具的投标保证金收据原件、退保申请原件，向南宁交通投资集团有限责任公司申请办理未中标单位的投标保证金退还手续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r>
              <w:rPr>
                <w:rFonts w:ascii="宋体" w:hAnsi="宋体"/>
              </w:rPr>
              <w:t>3.5</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rPr>
                <w:szCs w:val="20"/>
              </w:rPr>
            </w:pPr>
            <w:r>
              <w:rPr>
                <w:rFonts w:hint="eastAsia"/>
                <w:szCs w:val="20"/>
              </w:rPr>
              <w:t>投标人有右侧情形之一的，采购人不予退还其交纳的投标保证金：</w:t>
            </w:r>
          </w:p>
          <w:p>
            <w:pPr>
              <w:rPr>
                <w:rFonts w:hAnsi="宋体"/>
              </w:rPr>
            </w:pPr>
          </w:p>
        </w:tc>
        <w:tc>
          <w:tcPr>
            <w:tcW w:w="5422" w:type="dxa"/>
            <w:tcBorders>
              <w:top w:val="single" w:color="auto" w:sz="4" w:space="0"/>
              <w:left w:val="single" w:color="auto" w:sz="4" w:space="0"/>
              <w:bottom w:val="single" w:color="auto" w:sz="4" w:space="0"/>
              <w:right w:val="single" w:color="auto" w:sz="4" w:space="0"/>
            </w:tcBorders>
          </w:tcPr>
          <w:p>
            <w:pPr>
              <w:pStyle w:val="9"/>
              <w:rPr>
                <w:szCs w:val="20"/>
              </w:rPr>
            </w:pPr>
            <w:r>
              <w:rPr>
                <w:rFonts w:hint="eastAsia"/>
                <w:szCs w:val="20"/>
              </w:rPr>
              <w:t>（1）在开标后要求撤回投标的；</w:t>
            </w:r>
          </w:p>
          <w:p>
            <w:pPr>
              <w:pStyle w:val="9"/>
              <w:rPr>
                <w:szCs w:val="20"/>
              </w:rPr>
            </w:pPr>
            <w:r>
              <w:rPr>
                <w:rFonts w:hint="eastAsia"/>
                <w:szCs w:val="20"/>
              </w:rPr>
              <w:t>（2）属第四章第18.2项所述情形的；</w:t>
            </w:r>
          </w:p>
          <w:p>
            <w:pPr>
              <w:pStyle w:val="9"/>
              <w:rPr>
                <w:szCs w:val="20"/>
              </w:rPr>
            </w:pPr>
            <w:r>
              <w:rPr>
                <w:rFonts w:hint="eastAsia"/>
                <w:szCs w:val="20"/>
              </w:rPr>
              <w:t>（3）中标后未按规定缴纳履约保证金的；</w:t>
            </w:r>
          </w:p>
          <w:p>
            <w:pPr>
              <w:pStyle w:val="9"/>
              <w:rPr>
                <w:szCs w:val="20"/>
              </w:rPr>
            </w:pPr>
            <w:r>
              <w:rPr>
                <w:rFonts w:hint="eastAsia"/>
                <w:szCs w:val="20"/>
              </w:rPr>
              <w:t>（4）中标后无正当理由不与采购人按规定的时间、地点签订合同的；</w:t>
            </w:r>
          </w:p>
          <w:p>
            <w:pPr>
              <w:pStyle w:val="9"/>
              <w:rPr>
                <w:szCs w:val="20"/>
              </w:rPr>
            </w:pPr>
            <w:r>
              <w:rPr>
                <w:rFonts w:hint="eastAsia"/>
                <w:szCs w:val="20"/>
              </w:rPr>
              <w:t>（5）中标后与采购人签订对招标文件和投标文件作了实质性修改的合同，或与采购人私下订立背离合同实质性内容的协议的；</w:t>
            </w:r>
          </w:p>
          <w:p>
            <w:pPr>
              <w:pStyle w:val="9"/>
              <w:rPr>
                <w:szCs w:val="20"/>
              </w:rPr>
            </w:pPr>
            <w:r>
              <w:rPr>
                <w:rFonts w:hint="eastAsia"/>
                <w:szCs w:val="20"/>
              </w:rPr>
              <w:t>（6）将中标项目转让给他人，或者在投标文件中未说明，且未经采购人同意，将中标项目分包给他人的。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14.2</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投标截止时间（开标时间）</w:t>
            </w:r>
          </w:p>
        </w:tc>
        <w:tc>
          <w:tcPr>
            <w:tcW w:w="5422" w:type="dxa"/>
            <w:tcBorders>
              <w:top w:val="single" w:color="auto" w:sz="4" w:space="0"/>
              <w:left w:val="single" w:color="auto" w:sz="4" w:space="0"/>
              <w:bottom w:val="single" w:color="auto" w:sz="4" w:space="0"/>
              <w:right w:val="single" w:color="auto" w:sz="4" w:space="0"/>
            </w:tcBorders>
            <w:vAlign w:val="center"/>
          </w:tcPr>
          <w:p>
            <w:pPr>
              <w:rPr>
                <w:rFonts w:hAnsi="宋体"/>
                <w:szCs w:val="21"/>
              </w:rPr>
            </w:pPr>
            <w:r>
              <w:rPr>
                <w:rFonts w:hint="eastAsia" w:hAnsi="宋体"/>
              </w:rPr>
              <w:t>与第一章公告的投标截止时间（开标时间）一致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14.3</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递交投标文件地点</w:t>
            </w:r>
          </w:p>
        </w:tc>
        <w:tc>
          <w:tcPr>
            <w:tcW w:w="5422" w:type="dxa"/>
            <w:tcBorders>
              <w:top w:val="single" w:color="auto" w:sz="4" w:space="0"/>
              <w:left w:val="single" w:color="auto" w:sz="4" w:space="0"/>
              <w:bottom w:val="single" w:color="auto" w:sz="4" w:space="0"/>
              <w:right w:val="single" w:color="auto" w:sz="4" w:space="0"/>
            </w:tcBorders>
            <w:vAlign w:val="center"/>
          </w:tcPr>
          <w:p>
            <w:pPr>
              <w:widowControl/>
              <w:jc w:val="left"/>
              <w:rPr>
                <w:rFonts w:hAnsi="宋体"/>
                <w:szCs w:val="21"/>
              </w:rPr>
            </w:pPr>
            <w:r>
              <w:rPr>
                <w:rFonts w:hint="eastAsia" w:ascii="宋体" w:hAnsi="Courier New"/>
                <w:szCs w:val="20"/>
              </w:rPr>
              <w:t>南宁交通投资集团有限责任公司（南宁市青秀区站南东路2号南宁交投20楼会议室）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14.4</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递交投标样品截止时间</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hAnsi="宋体"/>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14.5</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递交投标样品地点</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b/>
                <w:bCs/>
                <w:szCs w:val="21"/>
              </w:rPr>
            </w:pPr>
            <w:r>
              <w:rPr>
                <w:rFonts w:hint="eastAsia" w:hAnsi="宋体"/>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15.1</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开标地点</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szCs w:val="24"/>
              </w:rPr>
              <w:t>与递交投标文件地点相同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17.3</w:t>
            </w:r>
          </w:p>
        </w:tc>
        <w:tc>
          <w:tcPr>
            <w:tcW w:w="3242" w:type="dxa"/>
            <w:tcBorders>
              <w:top w:val="single" w:color="auto" w:sz="4" w:space="0"/>
              <w:left w:val="single" w:color="auto" w:sz="4" w:space="0"/>
              <w:bottom w:val="single" w:color="auto" w:sz="4" w:space="0"/>
              <w:right w:val="single" w:color="auto" w:sz="4" w:space="0"/>
            </w:tcBorders>
            <w:vAlign w:val="center"/>
          </w:tcPr>
          <w:p>
            <w:pPr>
              <w:pStyle w:val="9"/>
              <w:jc w:val="center"/>
              <w:rPr>
                <w:rFonts w:hAnsi="宋体"/>
                <w:szCs w:val="21"/>
              </w:rPr>
            </w:pPr>
            <w:r>
              <w:rPr>
                <w:rFonts w:hint="eastAsia" w:hAnsi="宋体"/>
                <w:szCs w:val="21"/>
              </w:rPr>
              <w:t>评标方法</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szCs w:val="21"/>
              </w:rPr>
            </w:pPr>
            <w:r>
              <w:rPr>
                <w:rFonts w:hint="eastAsia" w:hAnsi="宋体"/>
                <w:szCs w:val="21"/>
              </w:rPr>
              <w:t>最低价评审法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26.1</w:t>
            </w:r>
          </w:p>
        </w:tc>
        <w:tc>
          <w:tcPr>
            <w:tcW w:w="3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 w:val="20"/>
                <w:szCs w:val="20"/>
              </w:rPr>
            </w:pPr>
            <w:r>
              <w:rPr>
                <w:rFonts w:hint="eastAsia"/>
                <w:kern w:val="0"/>
              </w:rPr>
              <w:t>履约保证金</w:t>
            </w:r>
          </w:p>
        </w:tc>
        <w:tc>
          <w:tcPr>
            <w:tcW w:w="542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kern w:val="0"/>
              </w:rPr>
              <w:t>履约</w:t>
            </w:r>
            <w:r>
              <w:rPr>
                <w:rFonts w:hint="eastAsia"/>
                <w:szCs w:val="21"/>
              </w:rPr>
              <w:t>保证金的金额：</w:t>
            </w:r>
            <w:r>
              <w:rPr>
                <w:rFonts w:hint="eastAsia"/>
                <w:szCs w:val="21"/>
                <w:u w:val="single"/>
              </w:rPr>
              <w:t>5000</w:t>
            </w:r>
            <w:r>
              <w:rPr>
                <w:rFonts w:hint="eastAsia"/>
                <w:szCs w:val="21"/>
              </w:rPr>
              <w:t>元，</w:t>
            </w:r>
            <w:r>
              <w:rPr>
                <w:rFonts w:hint="eastAsia"/>
              </w:rPr>
              <w:t>中标单位</w:t>
            </w:r>
            <w:r>
              <w:rPr>
                <w:rFonts w:hint="eastAsia"/>
                <w:szCs w:val="21"/>
              </w:rPr>
              <w:t>收到中标通知书后，</w:t>
            </w:r>
            <w:r>
              <w:rPr>
                <w:rFonts w:hint="eastAsia"/>
              </w:rPr>
              <w:t>中标单位的</w:t>
            </w:r>
            <w:r>
              <w:rPr>
                <w:rFonts w:hint="eastAsia"/>
                <w:szCs w:val="21"/>
              </w:rPr>
              <w:t>投标保证金转为</w:t>
            </w:r>
            <w:r>
              <w:rPr>
                <w:rFonts w:hint="eastAsia"/>
                <w:kern w:val="0"/>
              </w:rPr>
              <w:t>履约</w:t>
            </w:r>
            <w:r>
              <w:rPr>
                <w:rFonts w:hint="eastAsia"/>
                <w:szCs w:val="21"/>
              </w:rPr>
              <w:t>保证金。</w:t>
            </w:r>
            <w:r>
              <w:rPr>
                <w:rFonts w:hint="eastAsia" w:hAnsi="宋体"/>
                <w:szCs w:val="21"/>
              </w:rPr>
              <w:t>设备调试完成</w:t>
            </w:r>
            <w:r>
              <w:rPr>
                <w:rFonts w:hint="eastAsia"/>
                <w:szCs w:val="21"/>
              </w:rPr>
              <w:t>后</w:t>
            </w:r>
            <w:r>
              <w:rPr>
                <w:rFonts w:hint="eastAsia"/>
                <w:kern w:val="0"/>
                <w:szCs w:val="21"/>
              </w:rPr>
              <w:t>经</w:t>
            </w:r>
            <w:r>
              <w:rPr>
                <w:rFonts w:hint="eastAsia" w:hAnsi="宋体"/>
                <w:szCs w:val="28"/>
                <w:u w:val="single"/>
              </w:rPr>
              <w:t>最终</w:t>
            </w:r>
            <w:r>
              <w:rPr>
                <w:rFonts w:hint="eastAsia"/>
                <w:kern w:val="0"/>
                <w:szCs w:val="21"/>
              </w:rPr>
              <w:t>验收合格，</w:t>
            </w:r>
            <w:r>
              <w:rPr>
                <w:rFonts w:hint="eastAsia" w:hAnsi="宋体"/>
              </w:rPr>
              <w:t>履约保证金自</w:t>
            </w:r>
            <w:r>
              <w:rPr>
                <w:rFonts w:hint="eastAsia"/>
              </w:rPr>
              <w:t>乙方</w:t>
            </w:r>
            <w:r>
              <w:rPr>
                <w:rFonts w:hint="eastAsia" w:hAnsi="宋体"/>
              </w:rPr>
              <w:t>按合同约定交货验收合格之日起转为质量保证金。</w:t>
            </w:r>
            <w:r>
              <w:rPr>
                <w:rFonts w:hint="eastAsia"/>
                <w:kern w:val="0"/>
                <w:szCs w:val="21"/>
              </w:rPr>
              <w:t>质保期满后乙方向甲方办理退付手续，甲方收到完整且合格的退付申请后</w:t>
            </w:r>
            <w:r>
              <w:rPr>
                <w:rFonts w:hint="eastAsia"/>
                <w:szCs w:val="21"/>
              </w:rPr>
              <w:t>将履约金退还给中标单位（无息）。</w:t>
            </w:r>
          </w:p>
          <w:p>
            <w:pPr>
              <w:rPr>
                <w:kern w:val="0"/>
                <w:sz w:val="24"/>
              </w:rPr>
            </w:pPr>
            <w:r>
              <w:rPr>
                <w:rFonts w:hint="eastAsia"/>
                <w:b/>
                <w:szCs w:val="21"/>
              </w:rPr>
              <w:t>户名</w:t>
            </w:r>
            <w:r>
              <w:rPr>
                <w:rFonts w:hint="eastAsia"/>
                <w:szCs w:val="21"/>
              </w:rPr>
              <w:t>：南宁交通投资集团有限责任公司</w:t>
            </w:r>
          </w:p>
          <w:p>
            <w:pPr>
              <w:jc w:val="left"/>
              <w:rPr>
                <w:szCs w:val="21"/>
                <w:lang w:val="zh-CN"/>
              </w:rPr>
            </w:pPr>
            <w:r>
              <w:rPr>
                <w:szCs w:val="21"/>
                <w:lang w:val="zh-CN"/>
              </w:rPr>
              <w:t>开户银行：</w:t>
            </w:r>
            <w:r>
              <w:rPr>
                <w:rFonts w:hint="eastAsia"/>
                <w:szCs w:val="21"/>
                <w:lang w:val="zh-CN"/>
              </w:rPr>
              <w:t>工行南宁新城支行</w:t>
            </w:r>
          </w:p>
          <w:p>
            <w:pPr>
              <w:jc w:val="left"/>
              <w:rPr>
                <w:szCs w:val="21"/>
                <w:lang w:val="zh-CN"/>
              </w:rPr>
            </w:pPr>
            <w:r>
              <w:rPr>
                <w:szCs w:val="21"/>
                <w:lang w:val="zh-CN"/>
              </w:rPr>
              <w:t>开户名称：</w:t>
            </w:r>
            <w:bookmarkStart w:id="13" w:name="CgwjmbEntity：yhzhmc_0"/>
            <w:r>
              <w:rPr>
                <w:rFonts w:hint="eastAsia"/>
                <w:szCs w:val="21"/>
                <w:lang w:val="zh-CN"/>
              </w:rPr>
              <w:t>南宁交通投资集团有限责任公司</w:t>
            </w:r>
          </w:p>
          <w:p>
            <w:pPr>
              <w:jc w:val="left"/>
              <w:rPr>
                <w:szCs w:val="21"/>
                <w:lang w:val="zh-CN"/>
              </w:rPr>
            </w:pPr>
            <w:r>
              <w:rPr>
                <w:szCs w:val="21"/>
                <w:lang w:val="zh-CN"/>
              </w:rPr>
              <w:t>银行账号：</w:t>
            </w:r>
            <w:bookmarkEnd w:id="13"/>
            <w:r>
              <w:rPr>
                <w:rFonts w:hint="eastAsia"/>
                <w:sz w:val="24"/>
                <w:szCs w:val="24"/>
                <w:lang w:val="zh-CN"/>
              </w:rPr>
              <w:t>2102103019300163393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pStyle w:val="9"/>
              <w:adjustRightInd w:val="0"/>
              <w:jc w:val="center"/>
              <w:rPr>
                <w:rFonts w:hAnsi="宋体"/>
                <w:szCs w:val="21"/>
              </w:rPr>
            </w:pPr>
            <w:r>
              <w:rPr>
                <w:rFonts w:hint="eastAsia" w:hAnsi="宋体"/>
                <w:szCs w:val="21"/>
              </w:rPr>
              <w:t>28.1</w:t>
            </w:r>
          </w:p>
        </w:tc>
        <w:tc>
          <w:tcPr>
            <w:tcW w:w="3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rPr>
            </w:pPr>
            <w:r>
              <w:rPr>
                <w:rFonts w:hint="eastAsia"/>
                <w:kern w:val="0"/>
              </w:rPr>
              <w:t>需要补充的其他内容</w:t>
            </w:r>
          </w:p>
        </w:tc>
        <w:tc>
          <w:tcPr>
            <w:tcW w:w="5422" w:type="dxa"/>
            <w:tcBorders>
              <w:top w:val="single" w:color="auto" w:sz="4" w:space="0"/>
              <w:left w:val="single" w:color="auto" w:sz="4" w:space="0"/>
              <w:bottom w:val="single" w:color="auto" w:sz="4" w:space="0"/>
              <w:right w:val="single" w:color="auto" w:sz="4" w:space="0"/>
            </w:tcBorders>
            <w:vAlign w:val="center"/>
          </w:tcPr>
          <w:p>
            <w:pPr>
              <w:pStyle w:val="9"/>
              <w:rPr>
                <w:rFonts w:hAnsi="宋体"/>
                <w:b/>
                <w:szCs w:val="21"/>
              </w:rPr>
            </w:pPr>
            <w:r>
              <w:rPr>
                <w:rFonts w:hint="eastAsia" w:hAnsi="宋体"/>
                <w:bCs/>
                <w:szCs w:val="21"/>
                <w:u w:val="single"/>
              </w:rPr>
              <w:t>无</w:t>
            </w:r>
          </w:p>
        </w:tc>
      </w:tr>
    </w:tbl>
    <w:p>
      <w:pPr>
        <w:pStyle w:val="9"/>
        <w:jc w:val="center"/>
        <w:outlineLvl w:val="1"/>
        <w:rPr>
          <w:rFonts w:hAnsi="宋体"/>
          <w:b/>
          <w:sz w:val="28"/>
          <w:szCs w:val="28"/>
        </w:rPr>
      </w:pPr>
      <w:r>
        <w:rPr>
          <w:rFonts w:hint="eastAsia" w:hAnsi="宋体"/>
          <w:sz w:val="28"/>
          <w:szCs w:val="28"/>
        </w:rPr>
        <w:br w:type="page"/>
      </w:r>
      <w:bookmarkStart w:id="14" w:name="_Toc503169368"/>
      <w:r>
        <w:rPr>
          <w:rFonts w:hint="eastAsia" w:ascii="Times New Roman" w:hAnsi="Times New Roman"/>
          <w:b/>
          <w:sz w:val="30"/>
          <w:szCs w:val="30"/>
        </w:rPr>
        <w:t>一总则</w:t>
      </w:r>
      <w:bookmarkEnd w:id="14"/>
    </w:p>
    <w:p>
      <w:pPr>
        <w:pStyle w:val="9"/>
        <w:spacing w:line="440" w:lineRule="exact"/>
        <w:ind w:left="242" w:hanging="242" w:hangingChars="101"/>
        <w:jc w:val="left"/>
        <w:rPr>
          <w:rFonts w:hAnsi="宋体"/>
          <w:bCs/>
          <w:sz w:val="24"/>
        </w:rPr>
      </w:pPr>
      <w:r>
        <w:rPr>
          <w:rFonts w:hint="eastAsia" w:hAnsi="宋体"/>
          <w:bCs/>
          <w:sz w:val="24"/>
        </w:rPr>
        <w:t>1. 项目概况</w:t>
      </w:r>
    </w:p>
    <w:p>
      <w:pPr>
        <w:pStyle w:val="9"/>
        <w:spacing w:line="440" w:lineRule="exact"/>
        <w:ind w:left="2" w:firstLine="358"/>
        <w:jc w:val="left"/>
        <w:rPr>
          <w:rFonts w:hAnsi="宋体"/>
          <w:bCs/>
        </w:rPr>
      </w:pPr>
      <w:r>
        <w:rPr>
          <w:rFonts w:hint="eastAsia" w:hAnsi="宋体"/>
          <w:bCs/>
        </w:rPr>
        <w:t>1.1  采购人：见投标人须知前附表。</w:t>
      </w:r>
    </w:p>
    <w:p>
      <w:pPr>
        <w:pStyle w:val="9"/>
        <w:spacing w:line="440" w:lineRule="exact"/>
        <w:ind w:left="2" w:firstLine="358"/>
        <w:jc w:val="left"/>
        <w:rPr>
          <w:rFonts w:ascii="文鼎CS楷体" w:eastAsia="文鼎CS楷体"/>
        </w:rPr>
      </w:pPr>
      <w:r>
        <w:rPr>
          <w:rFonts w:hint="eastAsia" w:hAnsi="宋体"/>
          <w:bCs/>
        </w:rPr>
        <w:t xml:space="preserve">1.2  </w:t>
      </w:r>
      <w:r>
        <w:rPr>
          <w:rFonts w:hint="eastAsia" w:ascii="文鼎CS楷体" w:eastAsia="文鼎CS楷体"/>
        </w:rPr>
        <w:t>项目名称：</w:t>
      </w:r>
      <w:r>
        <w:rPr>
          <w:rFonts w:hint="eastAsia" w:hAnsi="宋体"/>
          <w:bCs/>
        </w:rPr>
        <w:t>见投标人须知前附表。</w:t>
      </w:r>
    </w:p>
    <w:p>
      <w:pPr>
        <w:pStyle w:val="9"/>
        <w:spacing w:line="440" w:lineRule="exact"/>
        <w:ind w:left="2" w:firstLine="358"/>
        <w:jc w:val="left"/>
        <w:rPr>
          <w:rFonts w:ascii="文鼎CS楷体" w:eastAsia="文鼎CS楷体"/>
        </w:rPr>
      </w:pPr>
      <w:r>
        <w:rPr>
          <w:rFonts w:hint="eastAsia" w:ascii="文鼎CS楷体" w:eastAsia="文鼎CS楷体"/>
        </w:rPr>
        <w:t>1.3  项目编号：</w:t>
      </w:r>
      <w:r>
        <w:rPr>
          <w:rFonts w:hint="eastAsia" w:hAnsi="宋体"/>
          <w:bCs/>
        </w:rPr>
        <w:t>见投标人须知前附表。</w:t>
      </w:r>
    </w:p>
    <w:p>
      <w:pPr>
        <w:pStyle w:val="9"/>
        <w:spacing w:line="440" w:lineRule="exact"/>
        <w:ind w:left="2" w:firstLine="358"/>
        <w:jc w:val="left"/>
        <w:rPr>
          <w:rFonts w:hAnsi="宋体"/>
          <w:bCs/>
        </w:rPr>
      </w:pPr>
      <w:r>
        <w:rPr>
          <w:rFonts w:hint="eastAsia" w:ascii="文鼎CS楷体" w:eastAsia="文鼎CS楷体"/>
        </w:rPr>
        <w:t xml:space="preserve">1.4  </w:t>
      </w:r>
      <w:r>
        <w:rPr>
          <w:rFonts w:hint="eastAsia" w:hAnsi="宋体"/>
          <w:bCs/>
        </w:rPr>
        <w:t>采购预算：见投标人须知前附表。</w:t>
      </w:r>
    </w:p>
    <w:p>
      <w:pPr>
        <w:pStyle w:val="9"/>
        <w:spacing w:line="440" w:lineRule="exact"/>
        <w:ind w:left="2" w:firstLine="358"/>
        <w:jc w:val="left"/>
        <w:rPr>
          <w:rFonts w:hAnsi="宋体"/>
          <w:bCs/>
        </w:rPr>
      </w:pPr>
      <w:r>
        <w:rPr>
          <w:rFonts w:hint="eastAsia" w:hAnsi="宋体"/>
          <w:bCs/>
        </w:rPr>
        <w:t>1.5  资金来源：企业自筹。</w:t>
      </w:r>
    </w:p>
    <w:p>
      <w:pPr>
        <w:pStyle w:val="9"/>
        <w:spacing w:line="440" w:lineRule="exact"/>
        <w:ind w:left="2" w:firstLine="358"/>
        <w:jc w:val="left"/>
        <w:rPr>
          <w:rFonts w:hAnsi="宋体"/>
          <w:bCs/>
        </w:rPr>
      </w:pPr>
      <w:r>
        <w:rPr>
          <w:rFonts w:hint="eastAsia" w:hAnsi="宋体"/>
          <w:bCs/>
        </w:rPr>
        <w:t xml:space="preserve">1.6  </w:t>
      </w:r>
      <w:r>
        <w:rPr>
          <w:rFonts w:hint="eastAsia" w:hAnsi="宋体"/>
          <w:szCs w:val="21"/>
        </w:rPr>
        <w:t>获取招标文件的时间、地点、方式、报名要求：</w:t>
      </w:r>
      <w:r>
        <w:rPr>
          <w:rFonts w:hint="eastAsia" w:hAnsi="宋体"/>
          <w:bCs/>
        </w:rPr>
        <w:t>见投标人须知前附表。</w:t>
      </w:r>
    </w:p>
    <w:p>
      <w:pPr>
        <w:pStyle w:val="9"/>
        <w:spacing w:line="440" w:lineRule="exact"/>
        <w:jc w:val="left"/>
        <w:rPr>
          <w:rFonts w:hAnsi="宋体"/>
          <w:bCs/>
          <w:sz w:val="24"/>
        </w:rPr>
      </w:pPr>
      <w:r>
        <w:rPr>
          <w:rFonts w:hint="eastAsia" w:hAnsi="宋体"/>
          <w:bCs/>
          <w:sz w:val="24"/>
        </w:rPr>
        <w:t>2. 采购信息发布媒体：</w:t>
      </w:r>
    </w:p>
    <w:p>
      <w:pPr>
        <w:adjustRightInd w:val="0"/>
        <w:snapToGrid w:val="0"/>
        <w:spacing w:line="440" w:lineRule="exact"/>
        <w:ind w:firstLine="420" w:firstLineChars="200"/>
        <w:rPr>
          <w:rFonts w:hAnsi="宋体"/>
          <w:bCs/>
        </w:rPr>
      </w:pPr>
      <w:r>
        <w:rPr>
          <w:rFonts w:hint="eastAsia" w:ascii="宋体" w:hAnsi="宋体" w:eastAsia="宋体" w:cs="宋体"/>
          <w:bCs/>
        </w:rPr>
        <w:t>2.1</w:t>
      </w:r>
      <w:r>
        <w:rPr>
          <w:rFonts w:hint="eastAsia" w:hAnsi="宋体"/>
          <w:bCs/>
        </w:rPr>
        <w:t>与本项目相关的采购业务信息（包括公开招标公告、中标公告及其更正事项等）将在以下媒体上发布：南宁交通投资集团有限责任公司网</w:t>
      </w:r>
      <w:r>
        <w:rPr>
          <w:rFonts w:hint="eastAsia" w:ascii="宋体" w:hAnsi="宋体"/>
          <w:szCs w:val="21"/>
        </w:rPr>
        <w:t>http://www.nnjtjt.com/。</w:t>
      </w:r>
    </w:p>
    <w:p>
      <w:pPr>
        <w:pStyle w:val="9"/>
        <w:spacing w:line="440" w:lineRule="exact"/>
        <w:ind w:left="2" w:firstLine="358"/>
        <w:jc w:val="left"/>
        <w:rPr>
          <w:rFonts w:hAnsi="宋体"/>
          <w:bCs/>
        </w:rPr>
      </w:pPr>
      <w:r>
        <w:rPr>
          <w:rFonts w:hint="eastAsia" w:hAnsi="宋体"/>
          <w:bCs/>
        </w:rPr>
        <w:t>2.2  本项目公开招标公告期限为自公告发布之日起5个工作日。</w:t>
      </w:r>
    </w:p>
    <w:p>
      <w:pPr>
        <w:pStyle w:val="9"/>
        <w:spacing w:line="440" w:lineRule="exact"/>
        <w:ind w:left="242" w:hanging="242" w:hangingChars="101"/>
        <w:jc w:val="left"/>
        <w:rPr>
          <w:rFonts w:hAnsi="宋体"/>
          <w:bCs/>
          <w:sz w:val="24"/>
        </w:rPr>
      </w:pPr>
      <w:r>
        <w:rPr>
          <w:rFonts w:hint="eastAsia" w:hAnsi="宋体"/>
          <w:bCs/>
          <w:sz w:val="24"/>
        </w:rPr>
        <w:t>3. 投标人资格要求：</w:t>
      </w:r>
    </w:p>
    <w:p>
      <w:pPr>
        <w:pStyle w:val="9"/>
        <w:spacing w:line="440" w:lineRule="exact"/>
        <w:ind w:firstLine="360"/>
        <w:rPr>
          <w:rFonts w:hAnsi="宋体"/>
          <w:bCs/>
        </w:rPr>
      </w:pPr>
      <w:r>
        <w:rPr>
          <w:rFonts w:hint="eastAsia" w:hAnsi="宋体"/>
          <w:bCs/>
        </w:rPr>
        <w:t>3.1  投标人应</w:t>
      </w:r>
      <w:r>
        <w:rPr>
          <w:rFonts w:hint="eastAsia"/>
        </w:rPr>
        <w:t>符合《中华人民共和国政府采购法》第二十二条规定的</w:t>
      </w:r>
      <w:r>
        <w:rPr>
          <w:rFonts w:hint="eastAsia" w:hAnsi="宋体"/>
          <w:bCs/>
        </w:rPr>
        <w:t>下列</w:t>
      </w:r>
      <w:r>
        <w:rPr>
          <w:rFonts w:hint="eastAsia"/>
        </w:rPr>
        <w:t>投标人资格条件</w:t>
      </w:r>
      <w:r>
        <w:rPr>
          <w:rFonts w:hint="eastAsia" w:hAnsi="宋体"/>
          <w:bCs/>
        </w:rPr>
        <w:t>：</w:t>
      </w:r>
    </w:p>
    <w:p>
      <w:pPr>
        <w:pStyle w:val="9"/>
        <w:spacing w:line="440" w:lineRule="exact"/>
        <w:ind w:firstLine="720"/>
        <w:rPr>
          <w:rFonts w:hAnsi="宋体"/>
          <w:bCs/>
        </w:rPr>
      </w:pPr>
      <w:r>
        <w:rPr>
          <w:rFonts w:hint="eastAsia" w:hAnsi="宋体"/>
          <w:bCs/>
        </w:rPr>
        <w:t>（1）具有独立承担民事责任的能力；</w:t>
      </w:r>
    </w:p>
    <w:p>
      <w:pPr>
        <w:pStyle w:val="9"/>
        <w:spacing w:line="440" w:lineRule="exact"/>
        <w:ind w:firstLine="720"/>
        <w:rPr>
          <w:rFonts w:hAnsi="宋体"/>
          <w:bCs/>
        </w:rPr>
      </w:pPr>
      <w:r>
        <w:rPr>
          <w:rFonts w:hint="eastAsia" w:hAnsi="宋体"/>
          <w:bCs/>
        </w:rPr>
        <w:t>（2）具有良好的商业信誉和健全的财务会计制度；</w:t>
      </w:r>
    </w:p>
    <w:p>
      <w:pPr>
        <w:pStyle w:val="9"/>
        <w:spacing w:line="440" w:lineRule="exact"/>
        <w:ind w:firstLine="720"/>
        <w:rPr>
          <w:rFonts w:hAnsi="宋体"/>
          <w:bCs/>
        </w:rPr>
      </w:pPr>
      <w:r>
        <w:rPr>
          <w:rFonts w:hint="eastAsia" w:hAnsi="宋体"/>
          <w:bCs/>
        </w:rPr>
        <w:t>（3）具有履行合同所必需的设备和专业技术能力；</w:t>
      </w:r>
    </w:p>
    <w:p>
      <w:pPr>
        <w:pStyle w:val="9"/>
        <w:spacing w:line="440" w:lineRule="exact"/>
        <w:ind w:firstLine="720"/>
        <w:rPr>
          <w:rFonts w:hAnsi="宋体"/>
          <w:bCs/>
        </w:rPr>
      </w:pPr>
      <w:r>
        <w:rPr>
          <w:rFonts w:hint="eastAsia" w:hAnsi="宋体"/>
          <w:bCs/>
        </w:rPr>
        <w:t>（4）有依法缴纳税收和社会保障资金的良好记录；</w:t>
      </w:r>
    </w:p>
    <w:p>
      <w:pPr>
        <w:pStyle w:val="9"/>
        <w:spacing w:line="440" w:lineRule="exact"/>
        <w:ind w:firstLine="720"/>
        <w:rPr>
          <w:rFonts w:hAnsi="宋体"/>
          <w:bCs/>
        </w:rPr>
      </w:pPr>
      <w:r>
        <w:rPr>
          <w:rFonts w:hint="eastAsia" w:hAnsi="宋体"/>
          <w:bCs/>
        </w:rPr>
        <w:t>（5）参加采购活动前三年内，在经营活动中没有重大违法记录；</w:t>
      </w:r>
    </w:p>
    <w:p>
      <w:pPr>
        <w:pStyle w:val="9"/>
        <w:spacing w:line="440" w:lineRule="exact"/>
        <w:ind w:firstLine="720"/>
        <w:rPr>
          <w:rFonts w:hAnsi="宋体"/>
          <w:bCs/>
        </w:rPr>
      </w:pPr>
      <w:r>
        <w:rPr>
          <w:rFonts w:hint="eastAsia" w:hAnsi="宋体"/>
          <w:bCs/>
        </w:rPr>
        <w:t>（6）法律、行政法规规定的其他条件。</w:t>
      </w:r>
    </w:p>
    <w:p>
      <w:pPr>
        <w:pStyle w:val="9"/>
        <w:spacing w:line="440" w:lineRule="exact"/>
        <w:ind w:left="2" w:firstLine="358"/>
        <w:jc w:val="left"/>
        <w:rPr>
          <w:rFonts w:hAnsi="宋体"/>
          <w:bCs/>
        </w:rPr>
      </w:pPr>
      <w:r>
        <w:rPr>
          <w:rFonts w:hint="eastAsia" w:hAnsi="宋体"/>
          <w:bCs/>
        </w:rPr>
        <w:t>3.2  针对本项目，投标人应具备的特定条件：见投标人须知前附表</w:t>
      </w:r>
    </w:p>
    <w:p>
      <w:pPr>
        <w:pStyle w:val="9"/>
        <w:spacing w:line="440" w:lineRule="exact"/>
        <w:ind w:firstLine="360"/>
        <w:rPr>
          <w:rFonts w:hAnsi="宋体"/>
          <w:bCs/>
        </w:rPr>
      </w:pPr>
      <w:r>
        <w:rPr>
          <w:rFonts w:hint="eastAsia" w:hAnsi="宋体"/>
          <w:bCs/>
        </w:rPr>
        <w:t xml:space="preserve">3.3  </w:t>
      </w:r>
      <w:r>
        <w:rPr>
          <w:rFonts w:hint="eastAsia" w:hAnsi="宋体"/>
        </w:rPr>
        <w:t xml:space="preserve">投标人不得直接或间接地与为本次采购的项目内容进行设计、编制规范和其他文件的咨询公司或其附属机构有任何关联。 </w:t>
      </w:r>
    </w:p>
    <w:p>
      <w:pPr>
        <w:pStyle w:val="9"/>
        <w:spacing w:line="440" w:lineRule="exact"/>
        <w:ind w:left="242" w:hanging="242" w:hangingChars="101"/>
        <w:jc w:val="left"/>
        <w:rPr>
          <w:rFonts w:hAnsi="宋体"/>
          <w:bCs/>
          <w:sz w:val="24"/>
        </w:rPr>
      </w:pPr>
      <w:r>
        <w:rPr>
          <w:rFonts w:hint="eastAsia" w:hAnsi="宋体"/>
          <w:bCs/>
          <w:sz w:val="24"/>
        </w:rPr>
        <w:t>4. 询问和质疑</w:t>
      </w:r>
    </w:p>
    <w:p>
      <w:pPr>
        <w:pStyle w:val="9"/>
        <w:spacing w:line="440" w:lineRule="exact"/>
        <w:ind w:left="2" w:firstLine="360"/>
        <w:jc w:val="left"/>
        <w:rPr>
          <w:rFonts w:hAnsi="宋体"/>
          <w:bCs/>
        </w:rPr>
      </w:pPr>
      <w:r>
        <w:rPr>
          <w:rFonts w:hint="eastAsia" w:hAnsi="宋体"/>
          <w:bCs/>
        </w:rPr>
        <w:t>4.1  投标人</w:t>
      </w:r>
      <w:r>
        <w:rPr>
          <w:rFonts w:hint="eastAsia" w:hAnsi="宋体"/>
          <w:szCs w:val="21"/>
        </w:rPr>
        <w:t>对采购活动事项有疑问的，可以向采购人</w:t>
      </w:r>
      <w:r>
        <w:rPr>
          <w:rFonts w:hint="eastAsia" w:hAnsi="宋体"/>
          <w:bCs/>
        </w:rPr>
        <w:t>项目负责人提出询问</w:t>
      </w:r>
      <w:r>
        <w:rPr>
          <w:rFonts w:hint="eastAsia" w:hAnsi="宋体"/>
          <w:szCs w:val="21"/>
        </w:rPr>
        <w:t>。</w:t>
      </w:r>
    </w:p>
    <w:p>
      <w:pPr>
        <w:pStyle w:val="9"/>
        <w:spacing w:line="440" w:lineRule="exact"/>
        <w:ind w:left="2" w:firstLine="360"/>
        <w:jc w:val="left"/>
        <w:rPr>
          <w:rFonts w:hAnsi="宋体"/>
          <w:bCs/>
          <w:szCs w:val="21"/>
        </w:rPr>
      </w:pPr>
      <w:r>
        <w:rPr>
          <w:rFonts w:hint="eastAsia" w:hAnsi="宋体"/>
          <w:bCs/>
        </w:rPr>
        <w:t xml:space="preserve">4.2  </w:t>
      </w:r>
      <w:r>
        <w:rPr>
          <w:rFonts w:hint="eastAsia" w:hAnsi="宋体"/>
          <w:bCs/>
          <w:szCs w:val="21"/>
        </w:rPr>
        <w:t>投标人认为招标文件使自己的权益受到损害的，应当在公开招标文件公告期限届满之日起</w:t>
      </w:r>
      <w:r>
        <w:rPr>
          <w:rFonts w:hAnsi="宋体"/>
          <w:bCs/>
          <w:szCs w:val="21"/>
        </w:rPr>
        <w:t>7</w:t>
      </w:r>
      <w:r>
        <w:rPr>
          <w:rFonts w:hint="eastAsia" w:hAnsi="宋体"/>
          <w:bCs/>
          <w:szCs w:val="21"/>
        </w:rPr>
        <w:t>个工作日内以书面形式向采购人质疑；投标人认为采购过程使自己的权益受到损害的，应当在各采购程序环节结束之日起</w:t>
      </w:r>
      <w:r>
        <w:rPr>
          <w:rFonts w:hAnsi="宋体"/>
          <w:bCs/>
          <w:szCs w:val="21"/>
        </w:rPr>
        <w:t>7</w:t>
      </w:r>
      <w:r>
        <w:rPr>
          <w:rFonts w:hint="eastAsia" w:hAnsi="宋体"/>
          <w:bCs/>
          <w:szCs w:val="21"/>
        </w:rPr>
        <w:t>个工作日内，以书面形式向采购人质疑；投标人认为中标结果使自己的权益受到损害的，应当在中标结果公告期限届满之日起</w:t>
      </w:r>
      <w:r>
        <w:rPr>
          <w:rFonts w:hAnsi="宋体"/>
          <w:bCs/>
          <w:szCs w:val="21"/>
        </w:rPr>
        <w:t>7</w:t>
      </w:r>
      <w:r>
        <w:rPr>
          <w:rFonts w:hint="eastAsia" w:hAnsi="宋体"/>
          <w:bCs/>
          <w:szCs w:val="21"/>
        </w:rPr>
        <w:t>个工作日内，以书面形式向采购人质疑。质疑有效期结束后，采购人不再受理该项目质疑。（质疑受理单位、递交质疑地点详见投标人须知前附表）</w:t>
      </w:r>
    </w:p>
    <w:p>
      <w:pPr>
        <w:pStyle w:val="9"/>
        <w:spacing w:line="440" w:lineRule="exact"/>
        <w:ind w:left="2" w:firstLine="360"/>
        <w:jc w:val="left"/>
        <w:rPr>
          <w:rFonts w:hAnsi="宋体"/>
          <w:bCs/>
          <w:szCs w:val="21"/>
        </w:rPr>
      </w:pPr>
      <w:r>
        <w:rPr>
          <w:rFonts w:hint="eastAsia" w:hAnsi="宋体"/>
          <w:bCs/>
          <w:szCs w:val="21"/>
        </w:rPr>
        <w:t>4.3  投标人质疑实行实名制，其质疑应当有具体的质疑事项及事实根据，不得进行虚假、恶意质疑。</w:t>
      </w:r>
    </w:p>
    <w:p>
      <w:pPr>
        <w:pStyle w:val="9"/>
        <w:spacing w:line="440" w:lineRule="exact"/>
        <w:ind w:firstLine="420" w:firstLineChars="200"/>
        <w:jc w:val="left"/>
        <w:rPr>
          <w:rFonts w:hAnsi="宋体"/>
          <w:bCs/>
        </w:rPr>
      </w:pPr>
      <w:r>
        <w:rPr>
          <w:rFonts w:hint="eastAsia"/>
          <w:bCs/>
          <w:szCs w:val="21"/>
        </w:rPr>
        <w:t>4.4  供应商质疑时，应当提交质疑</w:t>
      </w:r>
      <w:r>
        <w:rPr>
          <w:rFonts w:hint="eastAsia"/>
          <w:bCs/>
        </w:rPr>
        <w:t>书原件，质疑书应当包括下列主要内容：</w:t>
      </w:r>
    </w:p>
    <w:p>
      <w:pPr>
        <w:pStyle w:val="9"/>
        <w:spacing w:line="440" w:lineRule="exact"/>
        <w:ind w:left="2" w:firstLine="418"/>
        <w:jc w:val="left"/>
        <w:rPr>
          <w:rFonts w:hAnsi="宋体"/>
        </w:rPr>
      </w:pPr>
      <w:r>
        <w:rPr>
          <w:rFonts w:hint="eastAsia"/>
        </w:rPr>
        <w:t>（1）</w:t>
      </w:r>
      <w:r>
        <w:rPr>
          <w:rFonts w:hint="eastAsia" w:hAnsi="宋体"/>
        </w:rPr>
        <w:t>质疑供应商和被质疑的采购人名称、地址、电话、邮编等；</w:t>
      </w:r>
    </w:p>
    <w:p>
      <w:pPr>
        <w:pStyle w:val="9"/>
        <w:spacing w:line="440" w:lineRule="exact"/>
        <w:ind w:left="2" w:firstLine="418"/>
        <w:jc w:val="left"/>
        <w:rPr>
          <w:rFonts w:hAnsi="宋体"/>
        </w:rPr>
      </w:pPr>
      <w:r>
        <w:rPr>
          <w:rFonts w:hint="eastAsia" w:hAnsi="宋体"/>
        </w:rPr>
        <w:t>（2）质疑项目的名称、编号；</w:t>
      </w:r>
    </w:p>
    <w:p>
      <w:pPr>
        <w:pStyle w:val="9"/>
        <w:spacing w:line="440" w:lineRule="exact"/>
        <w:ind w:left="2" w:firstLine="418"/>
        <w:jc w:val="left"/>
        <w:rPr>
          <w:rFonts w:hAnsi="宋体"/>
        </w:rPr>
      </w:pPr>
      <w:r>
        <w:rPr>
          <w:rFonts w:hint="eastAsia" w:hAnsi="宋体"/>
        </w:rPr>
        <w:t>（3）权益受到损害的事实和理由,以及明确的请求；</w:t>
      </w:r>
    </w:p>
    <w:p>
      <w:pPr>
        <w:pStyle w:val="9"/>
        <w:spacing w:line="440" w:lineRule="exact"/>
        <w:ind w:left="2" w:firstLine="418"/>
        <w:jc w:val="left"/>
        <w:rPr>
          <w:rFonts w:hAnsi="宋体"/>
        </w:rPr>
      </w:pPr>
      <w:r>
        <w:rPr>
          <w:rFonts w:hint="eastAsia" w:hAnsi="宋体"/>
        </w:rPr>
        <w:t>（4）相关证明材料；</w:t>
      </w:r>
    </w:p>
    <w:p>
      <w:pPr>
        <w:pStyle w:val="9"/>
        <w:spacing w:line="440" w:lineRule="exact"/>
        <w:ind w:left="2" w:firstLine="418"/>
        <w:jc w:val="left"/>
        <w:rPr>
          <w:rFonts w:hAnsi="宋体"/>
        </w:rPr>
      </w:pPr>
      <w:r>
        <w:rPr>
          <w:rFonts w:hint="eastAsia" w:hAnsi="宋体"/>
        </w:rPr>
        <w:t>（5）提起质疑的日期；</w:t>
      </w:r>
    </w:p>
    <w:p>
      <w:pPr>
        <w:pStyle w:val="9"/>
        <w:spacing w:line="440" w:lineRule="exact"/>
        <w:ind w:left="2" w:firstLine="418"/>
        <w:jc w:val="left"/>
        <w:rPr>
          <w:rFonts w:hAnsi="宋体"/>
        </w:rPr>
      </w:pPr>
      <w:r>
        <w:rPr>
          <w:rFonts w:hint="eastAsia" w:hAnsi="宋体"/>
        </w:rPr>
        <w:t>（6）附件材料：缴纳投标保证金银行凭证；营业执照副本内页复印件（要求证件有效并清晰反映企业法人经营范围）；近期连续三个月依法缴纳税收证明材料（复印件，原件备查）；近期连续三个月在职职工依法缴纳社会保障资金证明材料（复印件，原件备查）。</w:t>
      </w:r>
    </w:p>
    <w:p>
      <w:pPr>
        <w:pStyle w:val="9"/>
        <w:spacing w:line="440" w:lineRule="exact"/>
        <w:ind w:firstLine="420" w:firstLineChars="200"/>
        <w:jc w:val="left"/>
        <w:rPr>
          <w:rFonts w:hAnsi="宋体"/>
        </w:rPr>
      </w:pPr>
      <w:r>
        <w:rPr>
          <w:rFonts w:hint="eastAsia" w:hAnsi="宋体"/>
        </w:rPr>
        <w:t>质疑书应当署名。质疑供应商为法人或者其他组织的，应当由法定代表人或者主要负责人签字（质疑供应商为法人的由法定代表人签字，质疑供应商为其他组织的由主要负责人签字）并加盖公章。</w:t>
      </w:r>
    </w:p>
    <w:p>
      <w:pPr>
        <w:pStyle w:val="9"/>
        <w:spacing w:line="440" w:lineRule="exact"/>
        <w:ind w:left="2" w:firstLine="360"/>
        <w:rPr>
          <w:rFonts w:hAnsi="宋体"/>
          <w:bCs/>
        </w:rPr>
      </w:pPr>
      <w:r>
        <w:rPr>
          <w:rFonts w:hint="eastAsia" w:hAnsi="宋体"/>
          <w:bCs/>
        </w:rPr>
        <w:t>4.5  质疑供应商可以委托代理人办理质疑事务。委托代理人应为质疑供应商的正式员工并熟悉相关业务情况。代理人办理质疑事务时，除提交质疑书外，还应当提交质疑供应商的授权委托书，授权委托书应当载明委托代理的具体权限和事项；提交</w:t>
      </w:r>
      <w:r>
        <w:rPr>
          <w:rFonts w:hint="eastAsia" w:hAnsi="宋体"/>
        </w:rPr>
        <w:t>委托代理人身份证明复印件和近期三个月社保缴费证明复印件。</w:t>
      </w:r>
    </w:p>
    <w:p>
      <w:pPr>
        <w:pStyle w:val="9"/>
        <w:spacing w:line="440" w:lineRule="exact"/>
        <w:ind w:left="2" w:firstLine="360"/>
        <w:rPr>
          <w:rFonts w:hAnsi="宋体"/>
          <w:bCs/>
        </w:rPr>
      </w:pPr>
      <w:r>
        <w:rPr>
          <w:rFonts w:hint="eastAsia" w:hAnsi="宋体"/>
          <w:bCs/>
        </w:rPr>
        <w:t>4.6  质疑供应商提起质疑应当符合下列条件：</w:t>
      </w:r>
    </w:p>
    <w:p>
      <w:pPr>
        <w:spacing w:line="440" w:lineRule="exact"/>
        <w:ind w:firstLine="720"/>
        <w:rPr>
          <w:rFonts w:ascii="宋体" w:hAnsi="宋体"/>
        </w:rPr>
      </w:pPr>
      <w:r>
        <w:rPr>
          <w:rFonts w:hint="eastAsia" w:ascii="宋体" w:hAnsi="宋体"/>
        </w:rPr>
        <w:t>（1）质疑供应商是参与所质疑采购活动的供应商；</w:t>
      </w:r>
    </w:p>
    <w:p>
      <w:pPr>
        <w:spacing w:line="440" w:lineRule="exact"/>
        <w:ind w:firstLine="720"/>
        <w:rPr>
          <w:rFonts w:ascii="宋体" w:hAnsi="宋体"/>
        </w:rPr>
      </w:pPr>
      <w:r>
        <w:rPr>
          <w:rFonts w:hint="eastAsia" w:ascii="宋体" w:hAnsi="宋体"/>
        </w:rPr>
        <w:t>（2）质疑书内容符合本章第4.3项的规定；</w:t>
      </w:r>
    </w:p>
    <w:p>
      <w:pPr>
        <w:spacing w:line="440" w:lineRule="exact"/>
        <w:ind w:firstLine="720"/>
        <w:rPr>
          <w:rFonts w:ascii="宋体" w:hAnsi="宋体"/>
        </w:rPr>
      </w:pPr>
      <w:r>
        <w:rPr>
          <w:rFonts w:hint="eastAsia" w:ascii="宋体" w:hAnsi="宋体"/>
        </w:rPr>
        <w:t>（3）在质疑有效期限内提起质疑；</w:t>
      </w:r>
    </w:p>
    <w:p>
      <w:pPr>
        <w:spacing w:line="440" w:lineRule="exact"/>
        <w:ind w:firstLine="720"/>
        <w:rPr>
          <w:rFonts w:ascii="宋体" w:hAnsi="宋体"/>
        </w:rPr>
      </w:pPr>
      <w:r>
        <w:rPr>
          <w:rFonts w:hint="eastAsia" w:ascii="宋体" w:hAnsi="宋体"/>
        </w:rPr>
        <w:t>（4）属于所质疑的采购人组织的采购活动；</w:t>
      </w:r>
    </w:p>
    <w:p>
      <w:pPr>
        <w:spacing w:line="440" w:lineRule="exact"/>
        <w:ind w:firstLine="720"/>
        <w:rPr>
          <w:rFonts w:ascii="宋体" w:hAnsi="宋体"/>
        </w:rPr>
      </w:pPr>
      <w:r>
        <w:rPr>
          <w:rFonts w:hint="eastAsia" w:ascii="宋体" w:hAnsi="宋体"/>
        </w:rPr>
        <w:t>（5）同一质疑事项未经采购人质疑处理；</w:t>
      </w:r>
    </w:p>
    <w:p>
      <w:pPr>
        <w:spacing w:line="440" w:lineRule="exact"/>
        <w:ind w:firstLine="720"/>
        <w:rPr>
          <w:rFonts w:ascii="宋体"/>
        </w:rPr>
      </w:pPr>
      <w:r>
        <w:rPr>
          <w:rFonts w:hint="eastAsia" w:ascii="宋体"/>
        </w:rPr>
        <w:t>（6）财政部门规定的其他条件。</w:t>
      </w:r>
    </w:p>
    <w:p>
      <w:pPr>
        <w:spacing w:line="440" w:lineRule="exact"/>
        <w:ind w:firstLine="360"/>
        <w:rPr>
          <w:rFonts w:ascii="宋体" w:hAnsi="宋体"/>
        </w:rPr>
      </w:pPr>
      <w:r>
        <w:rPr>
          <w:rFonts w:hint="eastAsia" w:ascii="宋体"/>
        </w:rPr>
        <w:t>4.7  采购</w:t>
      </w:r>
      <w:r>
        <w:rPr>
          <w:rFonts w:hint="eastAsia"/>
        </w:rPr>
        <w:t>人自受理质疑之日起</w:t>
      </w:r>
      <w:r>
        <w:t>7</w:t>
      </w:r>
      <w:r>
        <w:rPr>
          <w:rFonts w:hint="eastAsia"/>
        </w:rPr>
        <w:t>个工作日内，对质疑事项作出答复，并以书面形式通知质疑供应商及其他有关供应商。</w:t>
      </w:r>
    </w:p>
    <w:p>
      <w:pPr>
        <w:pStyle w:val="9"/>
        <w:spacing w:line="440" w:lineRule="exact"/>
        <w:ind w:left="242" w:hanging="242" w:hangingChars="101"/>
        <w:jc w:val="left"/>
        <w:rPr>
          <w:rFonts w:hAnsi="宋体"/>
          <w:bCs/>
          <w:sz w:val="24"/>
        </w:rPr>
      </w:pPr>
      <w:r>
        <w:rPr>
          <w:rFonts w:hint="eastAsia" w:hAnsi="宋体"/>
          <w:bCs/>
          <w:sz w:val="24"/>
        </w:rPr>
        <w:t>5.  投诉</w:t>
      </w:r>
    </w:p>
    <w:p>
      <w:pPr>
        <w:pStyle w:val="9"/>
        <w:spacing w:line="440" w:lineRule="exact"/>
        <w:ind w:left="2" w:leftChars="1" w:firstLine="420" w:firstLineChars="200"/>
        <w:jc w:val="left"/>
        <w:rPr>
          <w:rFonts w:hAnsi="宋体"/>
          <w:bCs/>
        </w:rPr>
      </w:pPr>
      <w:r>
        <w:rPr>
          <w:rFonts w:hint="eastAsia" w:hAnsi="宋体"/>
          <w:bCs/>
        </w:rPr>
        <w:t>5.1  供应商认为采购文件、采购过程、中标和成交结果使自己的合法权益受到损害的，应当首先依法向采购人提出质疑。对采购人的答复不满意，或者采购人未在规定期限内做出答复的，供应商可以在答复期满后15个工作日内向南宁交通投资集团有限责任公司工程管理部提起投诉。</w:t>
      </w:r>
    </w:p>
    <w:p>
      <w:pPr>
        <w:pStyle w:val="9"/>
        <w:spacing w:line="440" w:lineRule="exact"/>
        <w:ind w:left="2" w:leftChars="1" w:firstLine="420" w:firstLineChars="200"/>
        <w:jc w:val="left"/>
        <w:rPr>
          <w:rFonts w:hAnsi="宋体"/>
          <w:bCs/>
        </w:rPr>
      </w:pPr>
      <w:r>
        <w:rPr>
          <w:rFonts w:hint="eastAsia"/>
        </w:rPr>
        <w:t>5.2  投诉人投诉时，应当提交投诉书，并按照被投诉采购人和与投诉事项有关的供应商数量提供投诉书的副本。投诉书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int="eastAsia"/>
          <w:szCs w:val="21"/>
        </w:rPr>
        <w:t>：</w:t>
      </w:r>
    </w:p>
    <w:p>
      <w:pPr>
        <w:pStyle w:val="9"/>
        <w:spacing w:line="440" w:lineRule="exact"/>
        <w:ind w:left="2" w:firstLine="417" w:firstLineChars="199"/>
        <w:jc w:val="left"/>
      </w:pPr>
      <w:r>
        <w:rPr>
          <w:rFonts w:hint="eastAsia" w:hAnsi="宋体"/>
        </w:rPr>
        <w:t xml:space="preserve">（1）投诉人和被投诉人的名称、地址、电话等； </w:t>
      </w:r>
    </w:p>
    <w:p>
      <w:pPr>
        <w:pStyle w:val="9"/>
        <w:spacing w:line="440" w:lineRule="exact"/>
        <w:ind w:left="2" w:firstLine="417" w:firstLineChars="199"/>
        <w:jc w:val="left"/>
      </w:pPr>
      <w:r>
        <w:rPr>
          <w:rFonts w:hint="eastAsia" w:hAnsi="宋体"/>
        </w:rPr>
        <w:t>（2）具体的投诉事项及事实依据；</w:t>
      </w:r>
    </w:p>
    <w:p>
      <w:pPr>
        <w:pStyle w:val="9"/>
        <w:spacing w:line="440" w:lineRule="exact"/>
        <w:ind w:left="2" w:firstLine="417" w:firstLineChars="199"/>
        <w:jc w:val="left"/>
      </w:pPr>
      <w:r>
        <w:rPr>
          <w:rFonts w:hint="eastAsia" w:hAnsi="宋体"/>
        </w:rPr>
        <w:t xml:space="preserve">（3）质疑和质疑答复情况及相关证明材料； </w:t>
      </w:r>
    </w:p>
    <w:p>
      <w:pPr>
        <w:pStyle w:val="9"/>
        <w:tabs>
          <w:tab w:val="right" w:pos="9638"/>
        </w:tabs>
        <w:spacing w:line="440" w:lineRule="exact"/>
        <w:ind w:left="2" w:firstLine="417" w:firstLineChars="199"/>
        <w:jc w:val="left"/>
        <w:rPr>
          <w:rFonts w:hAnsi="宋体"/>
        </w:rPr>
      </w:pPr>
      <w:r>
        <w:rPr>
          <w:rFonts w:hint="eastAsia" w:hAnsi="宋体"/>
        </w:rPr>
        <w:t>（4）提起投诉的日期。</w:t>
      </w:r>
    </w:p>
    <w:p>
      <w:pPr>
        <w:pStyle w:val="9"/>
        <w:tabs>
          <w:tab w:val="right" w:pos="9638"/>
        </w:tabs>
        <w:spacing w:line="440" w:lineRule="exact"/>
        <w:ind w:left="2" w:firstLine="417" w:firstLineChars="199"/>
        <w:jc w:val="left"/>
        <w:rPr>
          <w:rFonts w:hAnsi="宋体"/>
        </w:rPr>
      </w:pPr>
      <w:r>
        <w:rPr>
          <w:rFonts w:hint="eastAsia" w:hAnsi="宋体"/>
        </w:rPr>
        <w:t>（5）附件材料：营业执照副本内页复印件（要求证件有效并清晰反映企业法人经营范围；近期连续三个月依法缴纳税收和在职职工社会保障资金证明材料（复印件，原件备查）。</w:t>
      </w:r>
      <w:r>
        <w:rPr>
          <w:rFonts w:hint="eastAsia" w:hAnsi="宋体"/>
        </w:rPr>
        <w:tab/>
      </w:r>
    </w:p>
    <w:p>
      <w:pPr>
        <w:pStyle w:val="9"/>
        <w:spacing w:line="440" w:lineRule="exact"/>
        <w:ind w:firstLine="420" w:firstLineChars="200"/>
        <w:rPr>
          <w:rFonts w:hAnsi="宋体"/>
        </w:rPr>
      </w:pPr>
      <w:r>
        <w:rPr>
          <w:rFonts w:hint="eastAsia" w:hAnsi="宋体"/>
        </w:rPr>
        <w:t>投诉书应当署名。投诉人为法人或者其他组织的，应当由法定代表人或者主要负责人签字盖章并加盖公章。</w:t>
      </w:r>
    </w:p>
    <w:p>
      <w:pPr>
        <w:pStyle w:val="9"/>
        <w:spacing w:line="440" w:lineRule="exact"/>
        <w:ind w:firstLine="420" w:firstLineChars="200"/>
        <w:rPr>
          <w:rFonts w:hAnsi="宋体"/>
        </w:rPr>
      </w:pPr>
      <w:r>
        <w:rPr>
          <w:rFonts w:hint="eastAsia"/>
        </w:rPr>
        <w:t>5.3  投诉人可以委托代理人办理投诉事务。</w:t>
      </w:r>
      <w:r>
        <w:rPr>
          <w:rFonts w:hint="eastAsia" w:hAnsi="宋体"/>
          <w:bCs/>
        </w:rPr>
        <w:t>委托代理人应为投诉供应商的正式员工并熟悉相关业务情况。</w:t>
      </w:r>
      <w:r>
        <w:rPr>
          <w:rFonts w:hint="eastAsia"/>
        </w:rPr>
        <w:t>代理人办理投诉事务时，除提交投诉书外，还应当提交投诉人的授权委托书，授权委托书应当载明委托代理的具体权限和事项；</w:t>
      </w:r>
      <w:r>
        <w:rPr>
          <w:rFonts w:hint="eastAsia" w:hAnsi="宋体"/>
          <w:bCs/>
        </w:rPr>
        <w:t>提交</w:t>
      </w:r>
      <w:r>
        <w:rPr>
          <w:rFonts w:hint="eastAsia" w:hAnsi="宋体"/>
        </w:rPr>
        <w:t>委托代理人身份证明复印件和近期三个月社保缴费证复印件。</w:t>
      </w:r>
    </w:p>
    <w:p>
      <w:pPr>
        <w:pStyle w:val="9"/>
        <w:spacing w:line="440" w:lineRule="exact"/>
        <w:ind w:firstLine="420" w:firstLineChars="200"/>
        <w:rPr>
          <w:rFonts w:hAnsi="宋体"/>
        </w:rPr>
      </w:pPr>
      <w:r>
        <w:rPr>
          <w:rFonts w:hint="eastAsia"/>
        </w:rPr>
        <w:t>5.4  投诉人提起投诉应当符合下列条件：</w:t>
      </w:r>
    </w:p>
    <w:p>
      <w:pPr>
        <w:spacing w:line="440" w:lineRule="exact"/>
        <w:ind w:firstLine="420"/>
        <w:rPr>
          <w:rFonts w:ascii="宋体" w:hAnsi="宋体"/>
        </w:rPr>
      </w:pPr>
      <w:r>
        <w:rPr>
          <w:rFonts w:hint="eastAsia" w:ascii="宋体" w:hAnsi="宋体"/>
        </w:rPr>
        <w:t>（1）投诉人是参与所投诉本次采购活动的供应商；</w:t>
      </w:r>
    </w:p>
    <w:p>
      <w:pPr>
        <w:spacing w:line="440" w:lineRule="exact"/>
        <w:ind w:firstLine="420"/>
        <w:rPr>
          <w:rFonts w:ascii="宋体" w:hAnsi="宋体"/>
        </w:rPr>
      </w:pPr>
      <w:r>
        <w:rPr>
          <w:rFonts w:hint="eastAsia" w:ascii="宋体" w:hAnsi="宋体"/>
        </w:rPr>
        <w:t>（2）提起投诉前已依法进行质疑；</w:t>
      </w:r>
    </w:p>
    <w:p>
      <w:pPr>
        <w:spacing w:line="440" w:lineRule="exact"/>
        <w:ind w:firstLine="420"/>
        <w:rPr>
          <w:rFonts w:ascii="宋体" w:hAnsi="宋体"/>
        </w:rPr>
      </w:pPr>
      <w:r>
        <w:rPr>
          <w:rFonts w:hint="eastAsia" w:ascii="宋体" w:hAnsi="宋体"/>
        </w:rPr>
        <w:t>（3）投诉书内容符合本章第5.2项的规定；</w:t>
      </w:r>
    </w:p>
    <w:p>
      <w:pPr>
        <w:spacing w:line="440" w:lineRule="exact"/>
        <w:ind w:firstLine="420"/>
        <w:rPr>
          <w:rFonts w:ascii="宋体" w:hAnsi="宋体"/>
        </w:rPr>
      </w:pPr>
      <w:r>
        <w:rPr>
          <w:rFonts w:hint="eastAsia" w:ascii="宋体" w:hAnsi="宋体"/>
        </w:rPr>
        <w:t>（4）在投诉有效期限内提起投诉；</w:t>
      </w:r>
    </w:p>
    <w:p>
      <w:pPr>
        <w:spacing w:line="440" w:lineRule="exact"/>
        <w:ind w:firstLine="420"/>
        <w:rPr>
          <w:rFonts w:ascii="宋体" w:hAnsi="宋体"/>
        </w:rPr>
      </w:pPr>
      <w:r>
        <w:rPr>
          <w:rFonts w:hint="eastAsia" w:ascii="宋体" w:hAnsi="宋体"/>
        </w:rPr>
        <w:t>（5）属</w:t>
      </w:r>
      <w:r>
        <w:rPr>
          <w:rFonts w:hint="eastAsia" w:hAnsi="宋体"/>
          <w:bCs/>
        </w:rPr>
        <w:t>南宁交通投资集团有限责任公司监督管理部门</w:t>
      </w:r>
      <w:r>
        <w:rPr>
          <w:rFonts w:hint="eastAsia" w:ascii="宋体" w:hAnsi="宋体"/>
        </w:rPr>
        <w:t>管辖；</w:t>
      </w:r>
    </w:p>
    <w:p>
      <w:pPr>
        <w:spacing w:line="440" w:lineRule="exact"/>
        <w:ind w:firstLine="420"/>
        <w:rPr>
          <w:rFonts w:ascii="宋体" w:hAnsi="宋体"/>
        </w:rPr>
      </w:pPr>
      <w:r>
        <w:rPr>
          <w:rFonts w:hint="eastAsia" w:ascii="宋体" w:hAnsi="宋体"/>
        </w:rPr>
        <w:t>（6）同一投诉事项未经</w:t>
      </w:r>
      <w:r>
        <w:rPr>
          <w:rFonts w:hint="eastAsia" w:hAnsi="宋体"/>
          <w:bCs/>
        </w:rPr>
        <w:t>南宁交通投资集团有限责任公司工程管理部</w:t>
      </w:r>
      <w:r>
        <w:rPr>
          <w:rFonts w:hint="eastAsia" w:ascii="宋体" w:hAnsi="宋体"/>
        </w:rPr>
        <w:t>投诉处理；</w:t>
      </w:r>
    </w:p>
    <w:p>
      <w:pPr>
        <w:spacing w:line="440" w:lineRule="exact"/>
        <w:ind w:firstLine="420"/>
        <w:rPr>
          <w:rFonts w:ascii="宋体" w:hAnsi="Times New Roman"/>
        </w:rPr>
      </w:pPr>
      <w:r>
        <w:rPr>
          <w:rFonts w:hint="eastAsia" w:ascii="宋体"/>
        </w:rPr>
        <w:t>（7）国务院财政部门规定的其他条件。</w:t>
      </w:r>
    </w:p>
    <w:p>
      <w:pPr>
        <w:spacing w:line="440" w:lineRule="exact"/>
        <w:ind w:firstLine="420" w:firstLineChars="200"/>
        <w:rPr>
          <w:rFonts w:ascii="宋体"/>
        </w:rPr>
      </w:pPr>
      <w:r>
        <w:rPr>
          <w:rFonts w:hint="eastAsia" w:ascii="宋体"/>
        </w:rPr>
        <w:t xml:space="preserve">5.5  </w:t>
      </w:r>
      <w:r>
        <w:rPr>
          <w:rFonts w:hint="eastAsia" w:hAnsi="宋体"/>
          <w:bCs/>
        </w:rPr>
        <w:t>南宁交通投资集团有限责任公司监督管理部门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个工作日内，对投诉事项作出处理决定，并以书面形式通知投诉人、被投诉人及其他与投诉处理结果有利害关系的本次采购当</w:t>
      </w:r>
      <w:r>
        <w:rPr>
          <w:rFonts w:hint="eastAsia" w:ascii="宋体"/>
        </w:rPr>
        <w:t>事人。</w:t>
      </w:r>
    </w:p>
    <w:p>
      <w:pPr>
        <w:spacing w:line="440" w:lineRule="exact"/>
        <w:ind w:firstLine="420" w:firstLineChars="200"/>
        <w:rPr>
          <w:rFonts w:hAnsi="宋体"/>
          <w:bCs/>
        </w:rPr>
      </w:pPr>
      <w:r>
        <w:rPr>
          <w:rFonts w:hint="eastAsia" w:ascii="宋体"/>
        </w:rPr>
        <w:t xml:space="preserve">5.6 </w:t>
      </w:r>
      <w:r>
        <w:rPr>
          <w:rFonts w:hint="eastAsia" w:hAnsi="宋体"/>
          <w:bCs/>
        </w:rPr>
        <w:t>南宁交通投资集团有限责任公司监督管理部门</w:t>
      </w:r>
      <w:r>
        <w:rPr>
          <w:rFonts w:hint="eastAsia" w:ascii="宋体"/>
        </w:rPr>
        <w:t>在处理投诉事项期间，可以视具体情况暂停采购活动。</w:t>
      </w:r>
    </w:p>
    <w:p>
      <w:pPr>
        <w:pStyle w:val="9"/>
        <w:jc w:val="center"/>
        <w:outlineLvl w:val="1"/>
        <w:rPr>
          <w:rFonts w:ascii="Times New Roman" w:hAnsi="Times New Roman"/>
          <w:b/>
          <w:sz w:val="30"/>
          <w:szCs w:val="30"/>
        </w:rPr>
      </w:pPr>
      <w:bookmarkStart w:id="15" w:name="_Toc503169369"/>
      <w:r>
        <w:rPr>
          <w:rFonts w:hint="eastAsia" w:ascii="Times New Roman" w:hAnsi="Times New Roman"/>
          <w:b/>
          <w:sz w:val="30"/>
          <w:szCs w:val="30"/>
        </w:rPr>
        <w:t>二招标文件</w:t>
      </w:r>
      <w:bookmarkEnd w:id="15"/>
    </w:p>
    <w:p>
      <w:pPr>
        <w:pStyle w:val="9"/>
        <w:spacing w:line="440" w:lineRule="exact"/>
        <w:rPr>
          <w:rFonts w:hAnsi="宋体"/>
          <w:bCs/>
        </w:rPr>
      </w:pPr>
      <w:r>
        <w:rPr>
          <w:rFonts w:hint="eastAsia" w:hAnsi="宋体"/>
          <w:bCs/>
          <w:sz w:val="24"/>
        </w:rPr>
        <w:t>6.  招标文件的组成</w:t>
      </w:r>
    </w:p>
    <w:p>
      <w:pPr>
        <w:pStyle w:val="9"/>
        <w:spacing w:line="440" w:lineRule="exact"/>
        <w:ind w:firstLine="359" w:firstLineChars="171"/>
        <w:rPr>
          <w:rFonts w:hAnsi="宋体"/>
        </w:rPr>
      </w:pPr>
      <w:r>
        <w:rPr>
          <w:rFonts w:hint="eastAsia" w:hAnsi="宋体"/>
        </w:rPr>
        <w:t>6.1  本</w:t>
      </w:r>
      <w:r>
        <w:rPr>
          <w:rFonts w:hint="eastAsia" w:hAnsi="宋体"/>
          <w:bCs/>
        </w:rPr>
        <w:t>招标</w:t>
      </w:r>
      <w:r>
        <w:rPr>
          <w:rFonts w:hint="eastAsia" w:hAnsi="宋体"/>
        </w:rPr>
        <w:t>文件包括六个章节，各章的内容如下：</w:t>
      </w:r>
    </w:p>
    <w:p>
      <w:pPr>
        <w:pStyle w:val="9"/>
        <w:spacing w:line="440" w:lineRule="exact"/>
        <w:ind w:firstLine="718" w:firstLineChars="342"/>
        <w:rPr>
          <w:rFonts w:hAnsi="宋体"/>
        </w:rPr>
      </w:pPr>
      <w:r>
        <w:rPr>
          <w:rFonts w:hint="eastAsia" w:hAnsi="宋体"/>
        </w:rPr>
        <w:t>第一章  公告</w:t>
      </w:r>
    </w:p>
    <w:p>
      <w:pPr>
        <w:pStyle w:val="9"/>
        <w:spacing w:line="440" w:lineRule="exact"/>
        <w:ind w:firstLine="718" w:firstLineChars="342"/>
        <w:rPr>
          <w:rFonts w:hAnsi="宋体"/>
        </w:rPr>
      </w:pPr>
      <w:r>
        <w:rPr>
          <w:rFonts w:hint="eastAsia" w:hAnsi="宋体"/>
        </w:rPr>
        <w:t>第二章  货物需求一览表</w:t>
      </w:r>
    </w:p>
    <w:p>
      <w:pPr>
        <w:pStyle w:val="9"/>
        <w:spacing w:line="440" w:lineRule="exact"/>
        <w:ind w:firstLine="718" w:firstLineChars="342"/>
        <w:rPr>
          <w:rFonts w:hAnsi="宋体"/>
        </w:rPr>
      </w:pPr>
      <w:r>
        <w:rPr>
          <w:rFonts w:hint="eastAsia" w:hAnsi="宋体"/>
        </w:rPr>
        <w:t>第三章  评标方法</w:t>
      </w:r>
    </w:p>
    <w:p>
      <w:pPr>
        <w:pStyle w:val="9"/>
        <w:spacing w:line="440" w:lineRule="exact"/>
        <w:ind w:firstLine="718" w:firstLineChars="342"/>
        <w:rPr>
          <w:rFonts w:hAnsi="宋体"/>
        </w:rPr>
      </w:pPr>
      <w:r>
        <w:rPr>
          <w:rFonts w:hint="eastAsia" w:hAnsi="宋体"/>
        </w:rPr>
        <w:t>第四章  投标人须知</w:t>
      </w:r>
    </w:p>
    <w:p>
      <w:pPr>
        <w:pStyle w:val="9"/>
        <w:spacing w:line="440" w:lineRule="exact"/>
        <w:ind w:firstLine="718" w:firstLineChars="342"/>
        <w:rPr>
          <w:rFonts w:hAnsi="宋体"/>
        </w:rPr>
      </w:pPr>
      <w:r>
        <w:rPr>
          <w:rFonts w:hint="eastAsia" w:hAnsi="宋体"/>
        </w:rPr>
        <w:t>第五章  投标文件格式</w:t>
      </w:r>
    </w:p>
    <w:p>
      <w:pPr>
        <w:pStyle w:val="9"/>
        <w:spacing w:line="440" w:lineRule="exact"/>
        <w:ind w:firstLine="718" w:firstLineChars="342"/>
        <w:rPr>
          <w:rFonts w:hAnsi="宋体"/>
        </w:rPr>
      </w:pPr>
      <w:r>
        <w:rPr>
          <w:rFonts w:hint="eastAsia" w:hAnsi="宋体"/>
        </w:rPr>
        <w:t>第六章  合同条款及格式</w:t>
      </w:r>
    </w:p>
    <w:p>
      <w:pPr>
        <w:pStyle w:val="9"/>
        <w:spacing w:line="440" w:lineRule="exact"/>
        <w:ind w:firstLine="359" w:firstLineChars="171"/>
        <w:rPr>
          <w:rFonts w:hAnsi="宋体"/>
        </w:rPr>
      </w:pPr>
      <w:r>
        <w:rPr>
          <w:rFonts w:hint="eastAsia" w:hAnsi="宋体"/>
        </w:rPr>
        <w:t>6.2根据本章第7.1项的规定对公开招标文件所做的澄清、修改，构成招标文件的组成部分。当公开招标文件与招标文件的澄清和修改就同一内容的表述不一致时，以最后发出的书面文件为准。</w:t>
      </w:r>
    </w:p>
    <w:p>
      <w:pPr>
        <w:pStyle w:val="9"/>
        <w:spacing w:line="440" w:lineRule="exact"/>
        <w:rPr>
          <w:rFonts w:hAnsi="宋体"/>
          <w:bCs/>
          <w:sz w:val="24"/>
        </w:rPr>
      </w:pPr>
      <w:r>
        <w:rPr>
          <w:rFonts w:hint="eastAsia" w:hAnsi="宋体"/>
          <w:bCs/>
          <w:sz w:val="24"/>
        </w:rPr>
        <w:t>7.  招标文件的澄清和修改</w:t>
      </w:r>
    </w:p>
    <w:p>
      <w:pPr>
        <w:pStyle w:val="9"/>
        <w:spacing w:line="440" w:lineRule="exact"/>
        <w:ind w:left="2" w:firstLine="480"/>
        <w:rPr>
          <w:rFonts w:hAnsi="宋体"/>
        </w:rPr>
      </w:pPr>
      <w:r>
        <w:rPr>
          <w:rFonts w:hint="eastAsia" w:hAnsi="宋体"/>
        </w:rPr>
        <w:t>7.1  投标人应认真审阅本公开招标文件，如有疑问，或发现其中有误或有要求不合理的，应在投标人须知前附表规定的</w:t>
      </w:r>
      <w:r>
        <w:rPr>
          <w:rFonts w:hint="eastAsia" w:cs="宋体"/>
          <w:kern w:val="0"/>
          <w:szCs w:val="21"/>
        </w:rPr>
        <w:t>投标人要求澄清的截止时间</w:t>
      </w:r>
      <w:r>
        <w:rPr>
          <w:rFonts w:hint="eastAsia" w:hAnsi="宋体"/>
        </w:rPr>
        <w:t>前以书面形式要求采购人对招标文件予以澄清；否则，由此产生的后果由投标人自行负责。</w:t>
      </w:r>
    </w:p>
    <w:p>
      <w:pPr>
        <w:pStyle w:val="9"/>
        <w:spacing w:line="440" w:lineRule="exact"/>
        <w:ind w:firstLine="360"/>
        <w:rPr>
          <w:rFonts w:hAnsi="宋体"/>
          <w:szCs w:val="21"/>
        </w:rPr>
      </w:pPr>
      <w:r>
        <w:rPr>
          <w:rFonts w:hint="eastAsia" w:hAnsi="宋体"/>
        </w:rPr>
        <w:t xml:space="preserve">7.2  </w:t>
      </w:r>
      <w:r>
        <w:rPr>
          <w:rFonts w:hint="eastAsia" w:hAnsi="宋体"/>
          <w:szCs w:val="21"/>
        </w:rPr>
        <w:t>采购人必须在投标截止时间15日前，以书面形式答复投标人要求澄清的问题，并将不包含问题来源的澄清通知(</w:t>
      </w:r>
      <w:r>
        <w:rPr>
          <w:rFonts w:hint="eastAsia"/>
          <w:szCs w:val="21"/>
        </w:rPr>
        <w:t>在</w:t>
      </w:r>
      <w:r>
        <w:rPr>
          <w:rFonts w:hint="eastAsia" w:cs="宋体"/>
          <w:szCs w:val="21"/>
        </w:rPr>
        <w:t>本章第2.1项规定的采购信息发布媒体上</w:t>
      </w:r>
      <w:r>
        <w:rPr>
          <w:rFonts w:hint="eastAsia"/>
          <w:szCs w:val="21"/>
        </w:rPr>
        <w:t>发布更正公告)</w:t>
      </w:r>
      <w:r>
        <w:rPr>
          <w:rFonts w:hint="eastAsia" w:hAnsi="宋体"/>
          <w:szCs w:val="21"/>
        </w:rPr>
        <w:t>所有获取招标文件的潜在投标人，除书面澄清以外的其他澄清方式及澄清内容均无效；</w:t>
      </w:r>
      <w:r>
        <w:rPr>
          <w:rFonts w:hint="eastAsia"/>
          <w:szCs w:val="21"/>
        </w:rPr>
        <w:t>如果澄清发出的时间距投标截止时间不足15日，则相应延长投标截止时间。</w:t>
      </w:r>
    </w:p>
    <w:p>
      <w:pPr>
        <w:pStyle w:val="9"/>
        <w:spacing w:line="440" w:lineRule="exact"/>
        <w:ind w:left="2" w:firstLine="480"/>
      </w:pPr>
      <w:r>
        <w:rPr>
          <w:rFonts w:hint="eastAsia" w:hAnsi="宋体"/>
        </w:rPr>
        <w:t>7.3  采购人可以对已发出的招标文件进行必要的澄清或者修改。澄清或者修改的内容可能影响投标文件编制的，采购人应当在投标截止时间至少</w:t>
      </w:r>
      <w:r>
        <w:rPr>
          <w:rFonts w:hAnsi="宋体"/>
        </w:rPr>
        <w:t>2</w:t>
      </w:r>
      <w:r>
        <w:rPr>
          <w:rFonts w:hint="eastAsia" w:hAnsi="宋体"/>
        </w:rPr>
        <w:t>日前，以书面形式通知(在本章第2.1项规定的采购信息发布媒体上发布更正公告)所有获取招标文件的潜在投标人；不足</w:t>
      </w:r>
      <w:r>
        <w:rPr>
          <w:rFonts w:hAnsi="宋体"/>
        </w:rPr>
        <w:t>2</w:t>
      </w:r>
      <w:r>
        <w:rPr>
          <w:rFonts w:hint="eastAsia" w:hAnsi="宋体"/>
        </w:rPr>
        <w:t>日的，采购人应当顺延提交投标文件的截止时间。</w:t>
      </w:r>
    </w:p>
    <w:p>
      <w:pPr>
        <w:pStyle w:val="9"/>
        <w:spacing w:line="440" w:lineRule="exact"/>
        <w:ind w:left="2" w:firstLine="360"/>
      </w:pPr>
      <w:r>
        <w:rPr>
          <w:rFonts w:hint="eastAsia" w:hAnsi="宋体"/>
        </w:rPr>
        <w:t xml:space="preserve">7.4  </w:t>
      </w:r>
      <w:r>
        <w:rPr>
          <w:rFonts w:hint="eastAsia"/>
        </w:rPr>
        <w:t>采购人可以视采购具体情况，变更投标截止时间和开标时间，将变更时间书面通知</w:t>
      </w:r>
      <w:r>
        <w:rPr>
          <w:rFonts w:hint="eastAsia" w:hAnsi="宋体"/>
        </w:rPr>
        <w:t>(</w:t>
      </w:r>
      <w:r>
        <w:rPr>
          <w:rFonts w:hint="eastAsia"/>
        </w:rPr>
        <w:t>在</w:t>
      </w:r>
      <w:r>
        <w:rPr>
          <w:rFonts w:hint="eastAsia" w:cs="宋体"/>
          <w:kern w:val="0"/>
          <w:szCs w:val="21"/>
        </w:rPr>
        <w:t>本章第2.1项规定的采购信息发布媒体上</w:t>
      </w:r>
      <w:r>
        <w:rPr>
          <w:rFonts w:hint="eastAsia"/>
        </w:rPr>
        <w:t>发布更正公告)所有</w:t>
      </w:r>
      <w:r>
        <w:rPr>
          <w:rFonts w:hint="eastAsia" w:hAnsi="宋体"/>
        </w:rPr>
        <w:t>获取招标文件的潜在投标人</w:t>
      </w:r>
      <w:r>
        <w:rPr>
          <w:rFonts w:hint="eastAsia"/>
        </w:rPr>
        <w:t>。</w:t>
      </w:r>
    </w:p>
    <w:p>
      <w:pPr>
        <w:pStyle w:val="9"/>
        <w:spacing w:line="440" w:lineRule="exact"/>
        <w:ind w:left="2" w:firstLine="360"/>
        <w:rPr>
          <w:rFonts w:hAnsi="宋体"/>
          <w:b/>
          <w:bCs/>
        </w:rPr>
      </w:pPr>
    </w:p>
    <w:p>
      <w:pPr>
        <w:pStyle w:val="9"/>
        <w:jc w:val="center"/>
        <w:outlineLvl w:val="1"/>
        <w:rPr>
          <w:rFonts w:ascii="Times New Roman" w:hAnsi="Times New Roman"/>
          <w:b/>
          <w:sz w:val="30"/>
          <w:szCs w:val="30"/>
        </w:rPr>
      </w:pPr>
      <w:bookmarkStart w:id="16" w:name="_Toc503169370"/>
      <w:r>
        <w:rPr>
          <w:rFonts w:hint="eastAsia" w:ascii="Times New Roman" w:hAnsi="Times New Roman"/>
          <w:b/>
          <w:sz w:val="30"/>
          <w:szCs w:val="30"/>
        </w:rPr>
        <w:t>三投标文件</w:t>
      </w:r>
      <w:bookmarkEnd w:id="16"/>
    </w:p>
    <w:p>
      <w:pPr>
        <w:pStyle w:val="9"/>
        <w:spacing w:line="440" w:lineRule="exact"/>
        <w:rPr>
          <w:rFonts w:hAnsi="宋体"/>
          <w:bCs/>
          <w:sz w:val="24"/>
        </w:rPr>
      </w:pPr>
      <w:r>
        <w:rPr>
          <w:rFonts w:hint="eastAsia" w:hAnsi="宋体"/>
          <w:bCs/>
          <w:sz w:val="24"/>
        </w:rPr>
        <w:t>8.  投标文件的编制</w:t>
      </w:r>
    </w:p>
    <w:p>
      <w:pPr>
        <w:pStyle w:val="9"/>
        <w:spacing w:line="440" w:lineRule="exact"/>
        <w:ind w:left="2" w:firstLine="360"/>
        <w:rPr>
          <w:rFonts w:hAnsi="宋体"/>
        </w:rPr>
      </w:pPr>
      <w:r>
        <w:rPr>
          <w:rFonts w:hint="eastAsia" w:hAnsi="宋体"/>
        </w:rPr>
        <w:t>8.1  投标人应仔细阅读招标文件，在充分了解招标的内容、技术参数要求和商务条款以及实质性要求和条件后，编写投标文件。</w:t>
      </w:r>
    </w:p>
    <w:p>
      <w:pPr>
        <w:pStyle w:val="9"/>
        <w:spacing w:line="440" w:lineRule="exact"/>
        <w:ind w:left="2" w:firstLine="360"/>
        <w:rPr>
          <w:rFonts w:hAnsi="宋体"/>
        </w:rPr>
      </w:pPr>
      <w:r>
        <w:rPr>
          <w:rFonts w:hint="eastAsia" w:hAnsi="宋体"/>
        </w:rPr>
        <w:t>8.2  对招标文件的实质性要求和条件作出响应是指投标人必须对招标文件中标注为实质性要求和条件的技术参数要求、商务条款及其它内容作出满足或者优于原要求和条件的承诺。</w:t>
      </w:r>
    </w:p>
    <w:p>
      <w:pPr>
        <w:pStyle w:val="9"/>
        <w:spacing w:line="440" w:lineRule="exact"/>
        <w:ind w:left="2" w:firstLine="360"/>
      </w:pPr>
      <w:r>
        <w:rPr>
          <w:rFonts w:hint="eastAsia" w:hAnsi="宋体"/>
        </w:rPr>
        <w:t xml:space="preserve">8.3  </w:t>
      </w:r>
      <w:r>
        <w:rPr>
          <w:rFonts w:hint="eastAsia"/>
        </w:rPr>
        <w:t>招标文件中标注号的内容为实质性要求和条件。未标注号的内容在评标时不得作为判定投标无效的依据。</w:t>
      </w:r>
    </w:p>
    <w:p>
      <w:pPr>
        <w:pStyle w:val="9"/>
        <w:spacing w:line="440" w:lineRule="exact"/>
        <w:ind w:left="2" w:firstLine="360"/>
        <w:rPr>
          <w:rFonts w:hAnsi="宋体"/>
        </w:rPr>
      </w:pPr>
      <w:r>
        <w:rPr>
          <w:rFonts w:hint="eastAsia" w:hAnsi="宋体"/>
        </w:rPr>
        <w:t>8.4  投标文件应用不褪色的材料书写或打印，保证其清楚、工整，相关材料的复印件应清晰可辨认。投标文件字迹潦草、表达不清、模糊无法辨认而导致非唯一理解是投标人的风险，很可能导致该投标无效。</w:t>
      </w:r>
    </w:p>
    <w:p>
      <w:pPr>
        <w:pStyle w:val="9"/>
        <w:spacing w:line="440" w:lineRule="exact"/>
        <w:ind w:left="2" w:firstLine="360"/>
        <w:rPr>
          <w:rFonts w:hAnsi="宋体"/>
        </w:rPr>
      </w:pPr>
      <w:r>
        <w:rPr>
          <w:rFonts w:hint="eastAsia" w:hAnsi="宋体"/>
        </w:rPr>
        <w:t>8.5  第五章“投标文件格式”中规定了投标文件格式的，应按相应格式要求编写。</w:t>
      </w:r>
    </w:p>
    <w:p>
      <w:pPr>
        <w:pStyle w:val="9"/>
        <w:spacing w:line="440" w:lineRule="exact"/>
        <w:ind w:left="2" w:firstLine="360"/>
        <w:rPr>
          <w:rFonts w:hAnsi="宋体"/>
        </w:rPr>
      </w:pPr>
      <w:r>
        <w:rPr>
          <w:rFonts w:hint="eastAsia" w:hAnsi="宋体"/>
        </w:rPr>
        <w:t>8.6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9"/>
        <w:spacing w:line="440" w:lineRule="exact"/>
        <w:ind w:firstLine="420" w:firstLineChars="200"/>
        <w:rPr>
          <w:rFonts w:hAnsi="宋体"/>
        </w:rPr>
      </w:pPr>
      <w:r>
        <w:rPr>
          <w:rFonts w:hint="eastAsia" w:hAnsi="宋体"/>
        </w:rPr>
        <w:t xml:space="preserve">8.7  </w:t>
      </w:r>
      <w:r>
        <w:rPr>
          <w:rFonts w:hint="eastAsia"/>
        </w:rPr>
        <w:t>投标文件应编制目录，且页码清晰准确。</w:t>
      </w:r>
    </w:p>
    <w:p>
      <w:pPr>
        <w:pStyle w:val="9"/>
        <w:spacing w:line="440" w:lineRule="exact"/>
        <w:ind w:left="2" w:firstLine="420" w:firstLineChars="200"/>
      </w:pPr>
      <w:r>
        <w:rPr>
          <w:rFonts w:hint="eastAsia"/>
        </w:rPr>
        <w:t>8.8</w:t>
      </w:r>
      <w:r>
        <w:rPr>
          <w:rFonts w:hint="eastAsia" w:hAnsi="宋体"/>
        </w:rPr>
        <w:t xml:space="preserve">  投标文件的</w:t>
      </w:r>
      <w:r>
        <w:rPr>
          <w:rFonts w:hint="eastAsia"/>
        </w:rPr>
        <w:t>正本和副本应分别装订成册，封面上应清楚地标记“正本”或“副本”字样，并标明项目名称、项目编号、投标人名称等内容。副本可以采用正本的复印件，当副本和正本不一致时，以正本为准。投标人应准备报价文件正本、资格文件正本、技术文件正本、商务文件正本各一份，副本份数见投标人须知前附表。</w:t>
      </w:r>
    </w:p>
    <w:p>
      <w:pPr>
        <w:pStyle w:val="9"/>
        <w:spacing w:line="440" w:lineRule="exact"/>
        <w:ind w:firstLine="480" w:firstLineChars="200"/>
        <w:rPr>
          <w:rFonts w:hAnsi="宋体"/>
          <w:bCs/>
          <w:sz w:val="24"/>
        </w:rPr>
      </w:pPr>
      <w:r>
        <w:rPr>
          <w:rFonts w:hint="eastAsia" w:hAnsi="宋体"/>
          <w:bCs/>
          <w:sz w:val="24"/>
        </w:rPr>
        <w:t>9.  投标语言文字及计量单位</w:t>
      </w:r>
    </w:p>
    <w:p>
      <w:pPr>
        <w:pStyle w:val="9"/>
        <w:spacing w:line="440" w:lineRule="exact"/>
        <w:ind w:firstLine="420" w:firstLineChars="200"/>
        <w:rPr>
          <w:rFonts w:hAnsi="宋体"/>
        </w:rPr>
      </w:pPr>
      <w:r>
        <w:rPr>
          <w:rFonts w:hint="eastAsia" w:hAnsi="宋体"/>
        </w:rPr>
        <w:t>9.1  投标人的投标文件以及投标人与采购人就有关投标的所有往来函电统一使用中文（特别规定除外）。</w:t>
      </w:r>
    </w:p>
    <w:p>
      <w:pPr>
        <w:pStyle w:val="9"/>
        <w:spacing w:line="440" w:lineRule="exact"/>
        <w:ind w:firstLine="420" w:firstLineChars="200"/>
        <w:rPr>
          <w:rFonts w:hAnsi="宋体"/>
        </w:rPr>
      </w:pPr>
      <w:r>
        <w:rPr>
          <w:rFonts w:hint="eastAsia" w:hAnsi="宋体"/>
        </w:rPr>
        <w:t>9.2  对不同文字文本投标文件的解释发生异议的，以中文文本为准。</w:t>
      </w:r>
    </w:p>
    <w:p>
      <w:pPr>
        <w:pStyle w:val="9"/>
        <w:spacing w:line="440" w:lineRule="exact"/>
        <w:ind w:firstLine="420" w:firstLineChars="200"/>
        <w:rPr>
          <w:rFonts w:hAnsi="宋体"/>
        </w:rPr>
      </w:pPr>
      <w:r>
        <w:rPr>
          <w:rFonts w:hint="eastAsia" w:hAnsi="宋体"/>
        </w:rPr>
        <w:t>9.3  投标文件使用的计量单位除招标文件中有特殊规定外，一律使用中华人民共和国法定计量单位。</w:t>
      </w:r>
    </w:p>
    <w:p>
      <w:pPr>
        <w:pStyle w:val="9"/>
        <w:spacing w:line="440" w:lineRule="exact"/>
        <w:ind w:firstLine="480" w:firstLineChars="200"/>
        <w:rPr>
          <w:rFonts w:hAnsi="宋体"/>
          <w:bCs/>
          <w:sz w:val="24"/>
        </w:rPr>
      </w:pPr>
      <w:r>
        <w:rPr>
          <w:rFonts w:hint="eastAsia" w:hAnsi="宋体"/>
          <w:bCs/>
          <w:sz w:val="24"/>
        </w:rPr>
        <w:t>10.  投标文件的组成</w:t>
      </w:r>
    </w:p>
    <w:p>
      <w:pPr>
        <w:pStyle w:val="9"/>
        <w:spacing w:line="440" w:lineRule="exact"/>
        <w:ind w:firstLine="420" w:firstLineChars="200"/>
        <w:rPr>
          <w:rFonts w:hAnsi="宋体"/>
        </w:rPr>
      </w:pPr>
      <w:r>
        <w:rPr>
          <w:rFonts w:hint="eastAsia" w:hAnsi="宋体"/>
        </w:rPr>
        <w:t>10.1  投标人需编制的投标文件包括报价文件、资格文件、技术文件、商务文件四部分，投标人应按下列说明编写和提交。应递交的有关文件如未特别注明为原件的，可提交复印件。</w:t>
      </w:r>
    </w:p>
    <w:p>
      <w:pPr>
        <w:pStyle w:val="9"/>
        <w:spacing w:line="440" w:lineRule="exact"/>
        <w:ind w:firstLine="420" w:firstLineChars="200"/>
        <w:rPr>
          <w:rFonts w:hAnsi="宋体"/>
        </w:rPr>
      </w:pPr>
      <w:r>
        <w:rPr>
          <w:rFonts w:hint="eastAsia" w:hAnsi="宋体"/>
        </w:rPr>
        <w:t>10.1.1  报价文件组成要求，包括：</w:t>
      </w:r>
    </w:p>
    <w:p>
      <w:pPr>
        <w:pStyle w:val="9"/>
        <w:spacing w:line="440" w:lineRule="exact"/>
        <w:ind w:firstLine="720"/>
        <w:rPr>
          <w:rFonts w:hAnsi="宋体"/>
        </w:rPr>
      </w:pPr>
      <w:r>
        <w:rPr>
          <w:rFonts w:hint="eastAsia" w:hAnsi="宋体"/>
        </w:rPr>
        <w:t>（1）投标函：按第五章“投标文件格式”提供的“投标函（格式）”的要求填写；</w:t>
      </w:r>
    </w:p>
    <w:p>
      <w:pPr>
        <w:pStyle w:val="9"/>
        <w:spacing w:line="440" w:lineRule="exact"/>
        <w:ind w:firstLine="720"/>
        <w:rPr>
          <w:rFonts w:hAnsi="宋体"/>
        </w:rPr>
      </w:pPr>
      <w:r>
        <w:rPr>
          <w:rFonts w:hint="eastAsia" w:hAnsi="宋体"/>
        </w:rPr>
        <w:t>（2）投标报价表：按第五章“投标文件格式”提供的“投标报价表（格式）”的要求填写。</w:t>
      </w:r>
    </w:p>
    <w:p>
      <w:pPr>
        <w:pStyle w:val="9"/>
        <w:spacing w:line="440" w:lineRule="exact"/>
        <w:ind w:firstLine="720"/>
        <w:rPr>
          <w:rFonts w:hAnsi="宋体"/>
        </w:rPr>
      </w:pPr>
    </w:p>
    <w:p>
      <w:pPr>
        <w:pStyle w:val="9"/>
        <w:spacing w:line="440" w:lineRule="exact"/>
        <w:ind w:firstLine="720"/>
        <w:rPr>
          <w:rFonts w:hAnsi="宋体"/>
        </w:rPr>
      </w:pPr>
      <w:r>
        <w:rPr>
          <w:rFonts w:hint="eastAsia" w:hAnsi="宋体"/>
          <w:b/>
        </w:rPr>
        <w:t>其中，报价文件组成要求的第（1）～（2）项必须提交。</w:t>
      </w:r>
    </w:p>
    <w:p>
      <w:pPr>
        <w:pStyle w:val="9"/>
        <w:spacing w:line="440" w:lineRule="exact"/>
        <w:ind w:firstLine="360"/>
        <w:rPr>
          <w:rFonts w:hAnsi="宋体"/>
          <w:b/>
          <w:bCs/>
        </w:rPr>
      </w:pPr>
      <w:r>
        <w:rPr>
          <w:rFonts w:hint="eastAsia" w:hAnsi="宋体"/>
        </w:rPr>
        <w:t>10.1.2  资格文件组成要求，包括：</w:t>
      </w:r>
    </w:p>
    <w:p>
      <w:pPr>
        <w:pStyle w:val="9"/>
        <w:spacing w:line="440" w:lineRule="exact"/>
        <w:ind w:firstLine="720"/>
        <w:rPr>
          <w:rFonts w:hAnsi="宋体"/>
          <w:szCs w:val="21"/>
        </w:rPr>
      </w:pPr>
      <w:r>
        <w:rPr>
          <w:rFonts w:hint="eastAsia" w:hAnsi="宋体"/>
          <w:szCs w:val="21"/>
        </w:rPr>
        <w:t>（1）</w:t>
      </w:r>
      <w:r>
        <w:rPr>
          <w:rFonts w:hint="eastAsia" w:hAnsi="宋体"/>
          <w:b/>
          <w:szCs w:val="21"/>
        </w:rPr>
        <w:t>资格声明函。</w:t>
      </w:r>
      <w:r>
        <w:rPr>
          <w:rFonts w:hint="eastAsia" w:hAnsi="宋体"/>
          <w:szCs w:val="21"/>
        </w:rPr>
        <w:t>按第五章“投标文件格式”提供的“</w:t>
      </w:r>
      <w:r>
        <w:rPr>
          <w:rFonts w:hint="eastAsia" w:hAnsi="宋体"/>
          <w:b/>
          <w:szCs w:val="21"/>
        </w:rPr>
        <w:t>资格声明函（格式）</w:t>
      </w:r>
      <w:r>
        <w:rPr>
          <w:rFonts w:hint="eastAsia" w:hAnsi="宋体"/>
          <w:szCs w:val="21"/>
        </w:rPr>
        <w:t>”的要求填写。对列入失信被执行人、重大税收违法案件当事人名单、政府采购严重违法失信行为记录名单的投标人，将被拒绝参与本项目采购活动。</w:t>
      </w:r>
    </w:p>
    <w:p>
      <w:pPr>
        <w:pStyle w:val="9"/>
        <w:spacing w:line="440" w:lineRule="exact"/>
        <w:ind w:firstLine="720"/>
        <w:rPr>
          <w:rFonts w:hAnsi="宋体"/>
          <w:szCs w:val="21"/>
        </w:rPr>
      </w:pPr>
      <w:r>
        <w:rPr>
          <w:rFonts w:hint="eastAsia" w:hAnsi="宋体"/>
          <w:szCs w:val="21"/>
        </w:rPr>
        <w:t>（2）根据本章第3.2项规定的投标人应具备的特定条件提供，包括营业执照副本内页或事业单位法人证复印件（投标人如为企业的，要求证件有效并清晰反映企业法人和经营范围）和投标人资格的其他证明文件复印件；</w:t>
      </w:r>
    </w:p>
    <w:p>
      <w:pPr>
        <w:pStyle w:val="9"/>
        <w:spacing w:line="440" w:lineRule="exact"/>
        <w:ind w:firstLine="720"/>
        <w:rPr>
          <w:rFonts w:hAnsi="宋体"/>
          <w:szCs w:val="21"/>
        </w:rPr>
      </w:pPr>
      <w:r>
        <w:rPr>
          <w:rFonts w:hint="eastAsia" w:hAnsi="宋体"/>
          <w:szCs w:val="21"/>
        </w:rPr>
        <w:t xml:space="preserve">（3）法定代表人身份证明复印件：如使用第二代身份证应提交正、反面复印件，如法定代表人非中国国籍应提交护照复印件，要求证件有效并与营业执照或事业单位法人证中的法定代表人相符； </w:t>
      </w:r>
    </w:p>
    <w:p>
      <w:pPr>
        <w:pStyle w:val="9"/>
        <w:spacing w:line="440" w:lineRule="exact"/>
        <w:ind w:firstLine="720"/>
        <w:rPr>
          <w:rFonts w:hAnsi="宋体"/>
          <w:szCs w:val="21"/>
        </w:rPr>
      </w:pPr>
      <w:r>
        <w:rPr>
          <w:rFonts w:hint="eastAsia" w:hAnsi="宋体"/>
          <w:b/>
          <w:szCs w:val="21"/>
        </w:rPr>
        <w:t>其中，资格文件组成要求的第（1）～（3）项必须提交。</w:t>
      </w:r>
    </w:p>
    <w:p>
      <w:pPr>
        <w:pStyle w:val="9"/>
        <w:spacing w:line="440" w:lineRule="exact"/>
        <w:ind w:firstLine="360"/>
        <w:rPr>
          <w:rFonts w:hAnsi="宋体"/>
        </w:rPr>
      </w:pPr>
      <w:r>
        <w:rPr>
          <w:rFonts w:hint="eastAsia" w:hAnsi="宋体"/>
        </w:rPr>
        <w:t>10.1.3 技术文件组成要求，包括：</w:t>
      </w:r>
    </w:p>
    <w:p>
      <w:pPr>
        <w:pStyle w:val="9"/>
        <w:spacing w:line="440" w:lineRule="exact"/>
        <w:ind w:firstLine="720"/>
        <w:rPr>
          <w:rFonts w:hAnsi="宋体"/>
          <w:b/>
          <w:bCs/>
          <w:szCs w:val="21"/>
        </w:rPr>
      </w:pPr>
      <w:r>
        <w:rPr>
          <w:rFonts w:hint="eastAsia" w:hAnsi="宋体"/>
          <w:szCs w:val="21"/>
        </w:rPr>
        <w:t>（1）投标产品技术资料表：按第五章“投标文件格式”提供的“投标产品技术资料表（格式）”的要求填写；</w:t>
      </w:r>
    </w:p>
    <w:p>
      <w:pPr>
        <w:pStyle w:val="9"/>
        <w:spacing w:line="440" w:lineRule="exact"/>
        <w:ind w:firstLine="720"/>
        <w:rPr>
          <w:rFonts w:hAnsi="宋体"/>
          <w:b/>
          <w:bCs/>
          <w:szCs w:val="21"/>
        </w:rPr>
      </w:pPr>
      <w:r>
        <w:rPr>
          <w:rFonts w:hint="eastAsia" w:hAnsi="宋体"/>
          <w:szCs w:val="21"/>
        </w:rPr>
        <w:t>（2）其它：针对本项目所投标货物的主要技术指标、参数及性能的详细说明，相关的图纸、图片，产品技术资料彩页（技术指标要求对应印证投标文件技术参数承诺的符合性及有效性）、产品有效检测和鉴定证明复印件等。</w:t>
      </w:r>
    </w:p>
    <w:p>
      <w:pPr>
        <w:pStyle w:val="9"/>
        <w:spacing w:line="440" w:lineRule="exact"/>
        <w:ind w:firstLine="720"/>
        <w:rPr>
          <w:rFonts w:hAnsi="宋体"/>
          <w:b/>
          <w:szCs w:val="21"/>
        </w:rPr>
      </w:pPr>
      <w:r>
        <w:rPr>
          <w:rFonts w:hint="eastAsia" w:hAnsi="宋体"/>
          <w:b/>
          <w:szCs w:val="21"/>
        </w:rPr>
        <w:t>其中，技术文件组成要求的第（1）项必须提交；第（2）项如有请提交。</w:t>
      </w:r>
    </w:p>
    <w:p>
      <w:pPr>
        <w:pStyle w:val="9"/>
        <w:spacing w:line="440" w:lineRule="exact"/>
        <w:ind w:firstLine="360"/>
        <w:rPr>
          <w:rFonts w:hAnsi="宋体"/>
          <w:szCs w:val="21"/>
        </w:rPr>
      </w:pPr>
      <w:r>
        <w:rPr>
          <w:rFonts w:hint="eastAsia" w:hAnsi="宋体"/>
          <w:szCs w:val="21"/>
        </w:rPr>
        <w:t>10.1.4  商务文件组成要求，包括：</w:t>
      </w:r>
    </w:p>
    <w:p>
      <w:pPr>
        <w:widowControl/>
        <w:spacing w:line="360" w:lineRule="auto"/>
        <w:ind w:firstLine="735" w:firstLineChars="350"/>
        <w:jc w:val="left"/>
        <w:rPr>
          <w:rFonts w:ascii="宋体" w:hAnsi="宋体"/>
          <w:szCs w:val="21"/>
        </w:rPr>
      </w:pPr>
      <w:r>
        <w:rPr>
          <w:rFonts w:hint="eastAsia" w:ascii="宋体" w:hAnsi="宋体"/>
          <w:szCs w:val="21"/>
        </w:rPr>
        <w:t>（1）投标人最近一个季度或近期连续三个月依法缴纳税收（国税或地税）的凭证复印件（如税务机关开具的完税证、银行缴税付款凭证或缴款回单等，如为非税务机关开具的凭证或回单的，应清晰反映：付款人名称、帐号，征收机关名称，缴款金额，税种名称，所属时期等内容）。无纳税记录的，应提供投标人所在地税务部门出具的《依法纳税或依法免税证明》（复印件，格式自拟，原件备查），《依法纳税或依法免税证明》原件一年内保持有效；</w:t>
      </w:r>
    </w:p>
    <w:p>
      <w:pPr>
        <w:pStyle w:val="9"/>
        <w:spacing w:line="440" w:lineRule="exact"/>
        <w:ind w:firstLine="720"/>
        <w:rPr>
          <w:rFonts w:hAnsi="宋体"/>
          <w:szCs w:val="21"/>
        </w:rPr>
      </w:pPr>
      <w:r>
        <w:rPr>
          <w:rFonts w:hint="eastAsia" w:hAnsi="宋体"/>
          <w:szCs w:val="21"/>
        </w:rPr>
        <w:t>（2）投标人最近一个季度或近期连续三个月依法缴纳社会保障资金的凭证复印件（如社保部门开具的证明、收款收据等，或银行缴款凭证、回单等，如为非社保部门开具的凭证或回单的，应清晰反映：缴款单位名称、社保单位名称、保险名称、缴款金额等内容）。无缴费记录的，应提供投标人所在地社保部门出具的《依法缴纳或依法免缴社保费证明》（复印件，格式自拟，原件备查）；</w:t>
      </w:r>
    </w:p>
    <w:p>
      <w:pPr>
        <w:pStyle w:val="9"/>
        <w:spacing w:line="440" w:lineRule="exact"/>
        <w:ind w:firstLine="720"/>
        <w:rPr>
          <w:rFonts w:hAnsi="宋体"/>
          <w:szCs w:val="21"/>
        </w:rPr>
      </w:pPr>
      <w:r>
        <w:rPr>
          <w:rFonts w:hint="eastAsia" w:hAnsi="宋体"/>
          <w:szCs w:val="21"/>
        </w:rPr>
        <w:t>（3）商务条款偏离表：按第五章“投标文件格式”提供的“商务条款偏离表（格式）” 的要求填写；</w:t>
      </w:r>
    </w:p>
    <w:p>
      <w:pPr>
        <w:pStyle w:val="9"/>
        <w:spacing w:line="440" w:lineRule="exact"/>
        <w:ind w:firstLine="720"/>
        <w:rPr>
          <w:rFonts w:hAnsi="宋体"/>
          <w:szCs w:val="21"/>
        </w:rPr>
      </w:pPr>
      <w:r>
        <w:rPr>
          <w:rFonts w:hint="eastAsia" w:hAnsi="宋体"/>
          <w:szCs w:val="21"/>
        </w:rPr>
        <w:t>（4）售后服务承诺书：按第五章“投标文件格式”提供的“售后服务承诺书（格式）” 的要求填写；</w:t>
      </w:r>
    </w:p>
    <w:p>
      <w:pPr>
        <w:pStyle w:val="9"/>
        <w:spacing w:line="440" w:lineRule="exact"/>
        <w:ind w:firstLine="720"/>
        <w:rPr>
          <w:rFonts w:hAnsi="宋体"/>
          <w:szCs w:val="21"/>
        </w:rPr>
      </w:pPr>
      <w:r>
        <w:rPr>
          <w:rFonts w:hint="eastAsia" w:hAnsi="宋体"/>
          <w:szCs w:val="21"/>
        </w:rPr>
        <w:t>（5）法定代表人授权委托书：按第五章“投标文件格式”提供的“法定代表人授权委托书（格式）”的要求填写；</w:t>
      </w:r>
    </w:p>
    <w:p>
      <w:pPr>
        <w:pStyle w:val="9"/>
        <w:spacing w:line="440" w:lineRule="exact"/>
        <w:ind w:firstLine="720"/>
        <w:rPr>
          <w:rFonts w:hAnsi="宋体"/>
          <w:szCs w:val="21"/>
        </w:rPr>
      </w:pPr>
      <w:r>
        <w:rPr>
          <w:rFonts w:hint="eastAsia" w:hAnsi="宋体"/>
          <w:szCs w:val="21"/>
        </w:rPr>
        <w:t>（6）委托代理人身份证明复印件和社保缴费证复印件：如使用第二代身份证应提交正、反面复印件，如委托代理人非中国国籍应提交护照复印件，要求证件有效并与法定代表人授权委托书中的委托代理人相符；社保缴费凭证应清晰反映人员身份和缴费的信息；</w:t>
      </w:r>
    </w:p>
    <w:p>
      <w:pPr>
        <w:pStyle w:val="9"/>
        <w:spacing w:line="440" w:lineRule="exact"/>
        <w:ind w:firstLine="720"/>
        <w:rPr>
          <w:rFonts w:hAnsi="宋体"/>
          <w:szCs w:val="21"/>
        </w:rPr>
      </w:pPr>
      <w:r>
        <w:rPr>
          <w:rFonts w:hint="eastAsia" w:hAnsi="宋体"/>
          <w:szCs w:val="21"/>
        </w:rPr>
        <w:t>（7）本招标不接受联合体投标；</w:t>
      </w:r>
    </w:p>
    <w:p>
      <w:pPr>
        <w:pStyle w:val="9"/>
        <w:spacing w:line="440" w:lineRule="exact"/>
        <w:ind w:firstLine="720"/>
        <w:rPr>
          <w:rFonts w:hAnsi="宋体"/>
          <w:szCs w:val="21"/>
        </w:rPr>
      </w:pPr>
      <w:r>
        <w:rPr>
          <w:rFonts w:hint="eastAsia" w:hAnsi="宋体"/>
          <w:szCs w:val="21"/>
        </w:rPr>
        <w:t>（8）财务会计报表复印件：投标人近三年的财务会计报表，包括资产负债表、现金流量表、利润表、财务情况说明书和审计报告；</w:t>
      </w:r>
    </w:p>
    <w:p>
      <w:pPr>
        <w:pStyle w:val="9"/>
        <w:spacing w:line="440" w:lineRule="exact"/>
        <w:ind w:firstLine="720"/>
        <w:rPr>
          <w:rFonts w:hAnsi="宋体"/>
          <w:szCs w:val="21"/>
        </w:rPr>
      </w:pPr>
      <w:r>
        <w:rPr>
          <w:rFonts w:hint="eastAsia" w:hAnsi="宋体"/>
          <w:szCs w:val="21"/>
        </w:rPr>
        <w:t>（9）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9"/>
        <w:spacing w:line="440" w:lineRule="exact"/>
        <w:ind w:firstLine="420"/>
        <w:rPr>
          <w:rFonts w:hAnsi="宋体"/>
          <w:b/>
          <w:szCs w:val="21"/>
        </w:rPr>
      </w:pPr>
      <w:r>
        <w:rPr>
          <w:rFonts w:hint="eastAsia" w:hAnsi="宋体"/>
          <w:b/>
          <w:szCs w:val="21"/>
        </w:rPr>
        <w:t>其中，商务文件组成要求的第（1）～（4）项必须提交；第（5）、（6）项在委托代理时必须提交；第（8）、（9）项如有请提交。</w:t>
      </w:r>
    </w:p>
    <w:p>
      <w:pPr>
        <w:pStyle w:val="9"/>
        <w:spacing w:line="440" w:lineRule="exact"/>
        <w:ind w:firstLine="360"/>
        <w:rPr>
          <w:rFonts w:hAnsi="宋体"/>
        </w:rPr>
      </w:pPr>
      <w:r>
        <w:rPr>
          <w:rFonts w:hint="eastAsia" w:hAnsi="宋体"/>
        </w:rPr>
        <w:t>10.2  投标人应编制目录，按上述顺序将报价文件、资格文件、技术文件、商务文件</w:t>
      </w:r>
      <w:r>
        <w:rPr>
          <w:rFonts w:hint="eastAsia" w:hAnsi="宋体"/>
          <w:b/>
        </w:rPr>
        <w:t>分别装订成册</w:t>
      </w:r>
      <w:r>
        <w:rPr>
          <w:rFonts w:hint="eastAsia" w:hAnsi="宋体"/>
        </w:rPr>
        <w:t>。</w:t>
      </w:r>
      <w:r>
        <w:rPr>
          <w:rFonts w:hint="eastAsia" w:hAnsi="宋体"/>
          <w:b/>
        </w:rPr>
        <w:t>特别注意投标报价不得出现在资格文件、技术文件、商务文件中。</w:t>
      </w:r>
    </w:p>
    <w:p>
      <w:pPr>
        <w:pStyle w:val="9"/>
        <w:spacing w:line="440" w:lineRule="exact"/>
        <w:rPr>
          <w:rFonts w:hAnsi="宋体"/>
          <w:bCs/>
          <w:sz w:val="24"/>
        </w:rPr>
      </w:pPr>
      <w:r>
        <w:rPr>
          <w:rFonts w:hint="eastAsia" w:hAnsi="宋体"/>
          <w:bCs/>
          <w:sz w:val="24"/>
        </w:rPr>
        <w:t>11.  投标报价</w:t>
      </w:r>
    </w:p>
    <w:p>
      <w:pPr>
        <w:pStyle w:val="9"/>
        <w:spacing w:line="440" w:lineRule="exact"/>
        <w:ind w:firstLine="360"/>
        <w:rPr>
          <w:rFonts w:hAnsi="宋体"/>
        </w:rPr>
      </w:pPr>
      <w:r>
        <w:rPr>
          <w:rFonts w:hint="eastAsia" w:hAnsi="宋体"/>
        </w:rPr>
        <w:t>11.1  投标人应以人民币报价。</w:t>
      </w:r>
    </w:p>
    <w:p>
      <w:pPr>
        <w:pStyle w:val="9"/>
        <w:spacing w:line="440" w:lineRule="exact"/>
        <w:ind w:firstLine="360"/>
        <w:rPr>
          <w:rFonts w:hAnsi="宋体"/>
        </w:rPr>
      </w:pPr>
      <w:r>
        <w:rPr>
          <w:rFonts w:hint="eastAsia" w:hAnsi="宋体"/>
        </w:rPr>
        <w:t>11.2  投标人可就第二章“货物需求一览表”中的</w:t>
      </w:r>
      <w:r>
        <w:rPr>
          <w:rFonts w:hint="eastAsia" w:hAnsi="宋体"/>
          <w:b/>
        </w:rPr>
        <w:t>某单个分标内容报出完整且唯一报价，也可就某几个或所有分标内容分别报出完整且唯一报价，附带有条件的报价将不予接受。</w:t>
      </w:r>
    </w:p>
    <w:p>
      <w:pPr>
        <w:pStyle w:val="9"/>
        <w:spacing w:line="440" w:lineRule="exact"/>
        <w:ind w:firstLine="360"/>
      </w:pPr>
      <w:r>
        <w:rPr>
          <w:rFonts w:hint="eastAsia" w:hAnsi="宋体"/>
        </w:rPr>
        <w:t>11.3  投标报价为采购人指定地点的现场交货价，其组成部分详见第二章“货物需求一览表”。</w:t>
      </w:r>
      <w:r>
        <w:rPr>
          <w:rFonts w:hint="eastAsia"/>
        </w:rPr>
        <w:t>采购人不再向中标单位支付其投标报价之外的任何费用。</w:t>
      </w:r>
    </w:p>
    <w:p>
      <w:pPr>
        <w:pStyle w:val="9"/>
        <w:spacing w:line="440" w:lineRule="exact"/>
        <w:ind w:firstLine="360"/>
      </w:pPr>
      <w:r>
        <w:rPr>
          <w:rFonts w:hint="eastAsia"/>
        </w:rPr>
        <w:t>11.4不论投标结果如何，投标人均应自行承担与编制和递交投标文件有关的全部费用。</w:t>
      </w:r>
    </w:p>
    <w:p>
      <w:pPr>
        <w:pStyle w:val="9"/>
        <w:spacing w:line="440" w:lineRule="exact"/>
        <w:rPr>
          <w:rFonts w:hAnsi="宋体"/>
          <w:bCs/>
          <w:sz w:val="24"/>
        </w:rPr>
      </w:pPr>
      <w:r>
        <w:rPr>
          <w:rFonts w:hint="eastAsia" w:hAnsi="宋体"/>
          <w:bCs/>
          <w:sz w:val="24"/>
        </w:rPr>
        <w:t>12.  投标有效期</w:t>
      </w:r>
    </w:p>
    <w:p>
      <w:pPr>
        <w:pStyle w:val="9"/>
        <w:spacing w:line="440" w:lineRule="exact"/>
        <w:ind w:firstLine="360"/>
        <w:rPr>
          <w:rFonts w:hAnsi="宋体"/>
          <w:bCs/>
          <w:sz w:val="24"/>
        </w:rPr>
      </w:pPr>
      <w:r>
        <w:rPr>
          <w:rFonts w:hint="eastAsia" w:hAnsi="宋体"/>
        </w:rPr>
        <w:t>12.1  在投标人须知前附表规定的投标有效期内，投标人不得要求撤销或修改其投标文件。</w:t>
      </w:r>
    </w:p>
    <w:p>
      <w:pPr>
        <w:pStyle w:val="9"/>
        <w:spacing w:line="440" w:lineRule="exact"/>
        <w:ind w:firstLine="360"/>
        <w:rPr>
          <w:rFonts w:hAnsi="宋体"/>
        </w:rPr>
      </w:pPr>
      <w:r>
        <w:rPr>
          <w:rFonts w:hint="eastAsia" w:hAnsi="宋体"/>
        </w:rPr>
        <w:t>12.2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9"/>
        <w:spacing w:line="440" w:lineRule="exact"/>
        <w:rPr>
          <w:rFonts w:hAnsi="宋体"/>
          <w:bCs/>
          <w:sz w:val="24"/>
        </w:rPr>
      </w:pPr>
      <w:r>
        <w:rPr>
          <w:rFonts w:hint="eastAsia" w:hAnsi="宋体"/>
          <w:bCs/>
          <w:sz w:val="24"/>
        </w:rPr>
        <w:t>13.  投标保证金</w:t>
      </w:r>
    </w:p>
    <w:p>
      <w:pPr>
        <w:spacing w:line="330" w:lineRule="exact"/>
        <w:rPr>
          <w:u w:val="single"/>
        </w:rPr>
      </w:pPr>
      <w:r>
        <w:rPr>
          <w:rFonts w:hint="eastAsia" w:hAnsi="宋体"/>
        </w:rPr>
        <w:t>13.1  投标保证金具体金额见投标人须知前附表。</w:t>
      </w:r>
    </w:p>
    <w:p>
      <w:pPr>
        <w:pStyle w:val="9"/>
        <w:tabs>
          <w:tab w:val="left" w:pos="0"/>
        </w:tabs>
        <w:spacing w:after="165" w:line="440" w:lineRule="exact"/>
        <w:ind w:firstLine="359" w:firstLineChars="171"/>
        <w:rPr>
          <w:rFonts w:hAnsi="宋体"/>
          <w:u w:val="single"/>
        </w:rPr>
      </w:pPr>
      <w:r>
        <w:rPr>
          <w:rFonts w:hint="eastAsia" w:hAnsi="宋体"/>
        </w:rPr>
        <w:t>投标人应在投标截止时间前一工作日下午18：00前按不少于投标人须知前附表规定的金额递交投标保证金，并确保到账。</w:t>
      </w:r>
    </w:p>
    <w:p>
      <w:pPr>
        <w:pStyle w:val="9"/>
        <w:tabs>
          <w:tab w:val="left" w:pos="0"/>
        </w:tabs>
        <w:spacing w:after="165" w:line="440" w:lineRule="exact"/>
        <w:ind w:firstLine="361" w:firstLineChars="171"/>
        <w:rPr>
          <w:rFonts w:hAnsi="宋体"/>
          <w:b/>
        </w:rPr>
      </w:pPr>
      <w:r>
        <w:rPr>
          <w:rFonts w:hint="eastAsia" w:hAnsi="宋体"/>
          <w:b/>
        </w:rPr>
        <w:t>13.2  投标保证金缴纳方式：</w:t>
      </w:r>
    </w:p>
    <w:p>
      <w:pPr>
        <w:pStyle w:val="9"/>
        <w:tabs>
          <w:tab w:val="left" w:pos="0"/>
        </w:tabs>
        <w:spacing w:after="165" w:line="440" w:lineRule="exact"/>
        <w:ind w:firstLine="361" w:firstLineChars="171"/>
        <w:rPr>
          <w:rFonts w:hAnsi="宋体"/>
          <w:b/>
        </w:rPr>
      </w:pPr>
      <w:r>
        <w:rPr>
          <w:rFonts w:hint="eastAsia" w:hAnsi="宋体"/>
          <w:b/>
        </w:rPr>
        <w:t>13.2.1投标保证金应于投标截止时间前一工作日下午18：00前到达专用账户(到账时间以银行确认的到达专用账户时间为准)</w:t>
      </w:r>
      <w:r>
        <w:rPr>
          <w:rFonts w:hint="eastAsia" w:hAnsi="宋体"/>
          <w:b/>
          <w:szCs w:val="21"/>
        </w:rPr>
        <w:t>并按13.2.1要求进行操作,否则投标会被拒绝</w:t>
      </w:r>
      <w:r>
        <w:rPr>
          <w:rFonts w:hint="eastAsia" w:hAnsi="宋体"/>
          <w:b/>
        </w:rPr>
        <w:t>。供应商提交的投标保证金仅限当次投标项目（标段）有效，不得重复替代使用。一个项目有多个标段并允许投标人分别报名的，供应商应按项目、标段分别提交投标保证金。</w:t>
      </w:r>
    </w:p>
    <w:p>
      <w:pPr>
        <w:pStyle w:val="9"/>
        <w:tabs>
          <w:tab w:val="left" w:pos="0"/>
        </w:tabs>
        <w:spacing w:after="165" w:line="440" w:lineRule="exact"/>
        <w:ind w:firstLine="361" w:firstLineChars="171"/>
        <w:rPr>
          <w:rFonts w:hAnsi="宋体"/>
        </w:rPr>
      </w:pPr>
      <w:r>
        <w:rPr>
          <w:rFonts w:hint="eastAsia" w:hAnsi="宋体"/>
          <w:b/>
        </w:rPr>
        <w:t>13.2.2评标委员会根据招标代理公司出具的投标保证金收据查验投标保证金提交情况。</w:t>
      </w:r>
    </w:p>
    <w:p>
      <w:pPr>
        <w:pStyle w:val="9"/>
        <w:tabs>
          <w:tab w:val="left" w:pos="0"/>
        </w:tabs>
        <w:spacing w:after="165" w:line="440" w:lineRule="exact"/>
        <w:ind w:firstLine="359" w:firstLineChars="171"/>
      </w:pPr>
      <w:r>
        <w:rPr>
          <w:rFonts w:hint="eastAsia"/>
        </w:rPr>
        <w:t>13.3未中标单位的投标保证金，除本章第13.5项规定的不予退还的情形外，将无息退还至未中标单位的账号（中标公示期满后，未中标单位应向采购人递交退保申请原件及保证金收据原件）。</w:t>
      </w:r>
    </w:p>
    <w:p>
      <w:pPr>
        <w:pStyle w:val="9"/>
        <w:tabs>
          <w:tab w:val="left" w:pos="0"/>
        </w:tabs>
        <w:spacing w:after="165" w:line="440" w:lineRule="exact"/>
        <w:ind w:firstLine="359" w:firstLineChars="171"/>
        <w:rPr>
          <w:rFonts w:hAnsi="宋体"/>
        </w:rPr>
      </w:pPr>
      <w:r>
        <w:rPr>
          <w:rFonts w:hint="eastAsia" w:hAnsi="宋体"/>
        </w:rPr>
        <w:t>13.4  涉及质疑和投诉的供应商，在质疑和投诉调查处理结束前其投标保证金暂不退还。</w:t>
      </w:r>
    </w:p>
    <w:p>
      <w:pPr>
        <w:pStyle w:val="9"/>
        <w:tabs>
          <w:tab w:val="left" w:pos="0"/>
        </w:tabs>
        <w:spacing w:after="165" w:line="440" w:lineRule="exact"/>
        <w:ind w:firstLine="359" w:firstLineChars="171"/>
        <w:rPr>
          <w:rFonts w:hAnsi="宋体"/>
        </w:rPr>
      </w:pPr>
      <w:r>
        <w:rPr>
          <w:rFonts w:hint="eastAsia" w:hAnsi="宋体"/>
        </w:rPr>
        <w:t>13.5  投标人有下列情形之一的，采购人不予退还其交纳的投标保证金：</w:t>
      </w:r>
    </w:p>
    <w:p>
      <w:pPr>
        <w:pStyle w:val="9"/>
        <w:spacing w:after="165" w:line="440" w:lineRule="exact"/>
        <w:ind w:left="2" w:firstLine="422" w:firstLineChars="201"/>
        <w:rPr>
          <w:rFonts w:hAnsi="宋体"/>
        </w:rPr>
      </w:pPr>
      <w:r>
        <w:rPr>
          <w:rFonts w:hint="eastAsia" w:hAnsi="宋体"/>
        </w:rPr>
        <w:t>（1）在开标后要求撤回投标的；</w:t>
      </w:r>
    </w:p>
    <w:p>
      <w:pPr>
        <w:pStyle w:val="9"/>
        <w:spacing w:after="165" w:line="440" w:lineRule="exact"/>
        <w:ind w:left="2" w:firstLine="422" w:firstLineChars="201"/>
        <w:rPr>
          <w:rFonts w:hAnsi="宋体"/>
        </w:rPr>
      </w:pPr>
      <w:r>
        <w:rPr>
          <w:rFonts w:hint="eastAsia" w:hAnsi="宋体"/>
        </w:rPr>
        <w:t>（2）属本章第18.2项所述情形的；</w:t>
      </w:r>
    </w:p>
    <w:p>
      <w:pPr>
        <w:pStyle w:val="9"/>
        <w:spacing w:after="165" w:line="440" w:lineRule="exact"/>
        <w:ind w:left="2" w:firstLine="422" w:firstLineChars="201"/>
        <w:rPr>
          <w:rFonts w:hAnsi="宋体"/>
        </w:rPr>
      </w:pPr>
      <w:r>
        <w:rPr>
          <w:rFonts w:hint="eastAsia" w:hAnsi="宋体"/>
        </w:rPr>
        <w:t>（3）中标后未按规定缴纳履约保证金的；</w:t>
      </w:r>
    </w:p>
    <w:p>
      <w:pPr>
        <w:pStyle w:val="9"/>
        <w:spacing w:after="165" w:line="440" w:lineRule="exact"/>
        <w:ind w:left="2" w:firstLine="422" w:firstLineChars="201"/>
        <w:rPr>
          <w:rFonts w:hAnsi="宋体"/>
        </w:rPr>
      </w:pPr>
      <w:r>
        <w:rPr>
          <w:rFonts w:hint="eastAsia" w:hAnsi="宋体"/>
        </w:rPr>
        <w:t>（4）中标后无正当理由不与采购人按规定的时间、地点签订合同的；</w:t>
      </w:r>
    </w:p>
    <w:p>
      <w:pPr>
        <w:pStyle w:val="9"/>
        <w:spacing w:after="165" w:line="440" w:lineRule="exact"/>
        <w:ind w:left="2" w:firstLine="422" w:firstLineChars="201"/>
        <w:rPr>
          <w:rFonts w:hAnsi="宋体"/>
        </w:rPr>
      </w:pPr>
      <w:r>
        <w:rPr>
          <w:rFonts w:hint="eastAsia" w:hAnsi="宋体"/>
        </w:rPr>
        <w:t>（5）中标后与采购人签订对招标文件和投标文件作了实质性修改的合同，或与采购人私下订立背离合同实质性内容的协议的；</w:t>
      </w:r>
    </w:p>
    <w:p>
      <w:pPr>
        <w:pStyle w:val="9"/>
        <w:spacing w:line="440" w:lineRule="exact"/>
        <w:ind w:left="2" w:firstLine="417" w:firstLineChars="199"/>
        <w:rPr>
          <w:rFonts w:hAnsi="宋体"/>
        </w:rPr>
      </w:pPr>
      <w:r>
        <w:rPr>
          <w:rFonts w:hint="eastAsia" w:hAnsi="宋体"/>
        </w:rPr>
        <w:t>（6）将中标项目转让给他人，或者在投标文件中未说明，且未经采购人同意，将中标项目分包给他人的。</w:t>
      </w:r>
    </w:p>
    <w:p>
      <w:pPr>
        <w:pStyle w:val="9"/>
        <w:spacing w:line="440" w:lineRule="exact"/>
        <w:ind w:firstLine="240" w:firstLineChars="100"/>
        <w:rPr>
          <w:rFonts w:hAnsi="宋体"/>
          <w:bCs/>
          <w:sz w:val="24"/>
        </w:rPr>
      </w:pPr>
    </w:p>
    <w:p>
      <w:pPr>
        <w:pStyle w:val="9"/>
        <w:spacing w:line="440" w:lineRule="exact"/>
        <w:jc w:val="center"/>
        <w:rPr>
          <w:rFonts w:hAnsi="宋体"/>
          <w:b/>
          <w:bCs/>
        </w:rPr>
      </w:pPr>
    </w:p>
    <w:p>
      <w:pPr>
        <w:pStyle w:val="9"/>
        <w:jc w:val="center"/>
        <w:outlineLvl w:val="1"/>
        <w:rPr>
          <w:rFonts w:ascii="Times New Roman" w:hAnsi="Times New Roman"/>
          <w:b/>
          <w:sz w:val="30"/>
          <w:szCs w:val="30"/>
        </w:rPr>
      </w:pPr>
      <w:bookmarkStart w:id="17" w:name="_Toc503169371"/>
      <w:r>
        <w:rPr>
          <w:rFonts w:hint="eastAsia" w:ascii="Times New Roman" w:hAnsi="Times New Roman"/>
          <w:b/>
          <w:sz w:val="30"/>
          <w:szCs w:val="30"/>
        </w:rPr>
        <w:t>四投标</w:t>
      </w:r>
      <w:bookmarkEnd w:id="17"/>
    </w:p>
    <w:p>
      <w:pPr>
        <w:pStyle w:val="9"/>
        <w:spacing w:line="440" w:lineRule="exact"/>
        <w:rPr>
          <w:rFonts w:hAnsi="宋体"/>
          <w:bCs/>
          <w:sz w:val="24"/>
        </w:rPr>
      </w:pPr>
      <w:r>
        <w:rPr>
          <w:rFonts w:hint="eastAsia" w:hAnsi="宋体"/>
          <w:bCs/>
          <w:sz w:val="24"/>
        </w:rPr>
        <w:t>14.  投标文件的密封</w:t>
      </w:r>
      <w:r>
        <w:rPr>
          <w:rFonts w:hint="eastAsia" w:hAnsi="宋体"/>
          <w:bCs/>
          <w:szCs w:val="21"/>
        </w:rPr>
        <w:t>及投标文件与投标样品的递交</w:t>
      </w:r>
    </w:p>
    <w:p>
      <w:pPr>
        <w:pStyle w:val="9"/>
        <w:spacing w:line="440" w:lineRule="exact"/>
        <w:ind w:firstLine="359" w:firstLineChars="171"/>
        <w:rPr>
          <w:rFonts w:hAnsi="宋体"/>
        </w:rPr>
      </w:pPr>
      <w:r>
        <w:rPr>
          <w:rFonts w:hint="eastAsia" w:hAnsi="宋体"/>
        </w:rPr>
        <w:t>14.1  投标人应将投标正、副本文件进行密封包装。</w:t>
      </w:r>
    </w:p>
    <w:p>
      <w:pPr>
        <w:pStyle w:val="9"/>
        <w:spacing w:line="440" w:lineRule="exact"/>
        <w:ind w:firstLine="360"/>
        <w:rPr>
          <w:rFonts w:hAnsi="宋体"/>
        </w:rPr>
      </w:pPr>
      <w:r>
        <w:rPr>
          <w:rFonts w:hint="eastAsia" w:hAnsi="宋体"/>
        </w:rPr>
        <w:t>14.2  投标人投标截止时间：见投标人须知前附表。</w:t>
      </w:r>
    </w:p>
    <w:p>
      <w:pPr>
        <w:pStyle w:val="9"/>
        <w:spacing w:line="440" w:lineRule="exact"/>
        <w:ind w:firstLine="360"/>
        <w:rPr>
          <w:rFonts w:hAnsi="宋体"/>
        </w:rPr>
      </w:pPr>
      <w:r>
        <w:rPr>
          <w:rFonts w:hint="eastAsia" w:hAnsi="宋体"/>
        </w:rPr>
        <w:t>14.3 投标人递交投标文件地点：见投标人须知前附表。</w:t>
      </w:r>
    </w:p>
    <w:p>
      <w:pPr>
        <w:pStyle w:val="9"/>
        <w:spacing w:line="440" w:lineRule="exact"/>
        <w:ind w:firstLine="360"/>
        <w:rPr>
          <w:rFonts w:hAnsi="宋体"/>
        </w:rPr>
      </w:pPr>
      <w:r>
        <w:rPr>
          <w:rFonts w:hint="eastAsia" w:hAnsi="宋体"/>
        </w:rPr>
        <w:t>14.4 投标人递交投标样品截止时间：见投标人须知前附表。</w:t>
      </w:r>
    </w:p>
    <w:p>
      <w:pPr>
        <w:pStyle w:val="9"/>
        <w:spacing w:line="440" w:lineRule="exact"/>
        <w:ind w:firstLine="360"/>
        <w:rPr>
          <w:rFonts w:hAnsi="宋体"/>
        </w:rPr>
      </w:pPr>
      <w:r>
        <w:rPr>
          <w:rFonts w:hint="eastAsia" w:hAnsi="宋体"/>
        </w:rPr>
        <w:t>14.5  投标人递交投标样品地点：见投标人须知前附表。</w:t>
      </w:r>
    </w:p>
    <w:p>
      <w:pPr>
        <w:pStyle w:val="9"/>
        <w:spacing w:line="440" w:lineRule="exact"/>
        <w:jc w:val="center"/>
        <w:rPr>
          <w:rFonts w:hAnsi="宋体"/>
        </w:rPr>
      </w:pPr>
    </w:p>
    <w:p>
      <w:pPr>
        <w:pStyle w:val="9"/>
        <w:jc w:val="center"/>
        <w:outlineLvl w:val="1"/>
        <w:rPr>
          <w:rFonts w:ascii="Times New Roman" w:hAnsi="Times New Roman"/>
          <w:b/>
          <w:sz w:val="30"/>
          <w:szCs w:val="30"/>
        </w:rPr>
      </w:pPr>
      <w:bookmarkStart w:id="18" w:name="_Toc503169372"/>
      <w:r>
        <w:rPr>
          <w:rFonts w:hint="eastAsia" w:ascii="Times New Roman" w:hAnsi="Times New Roman"/>
          <w:b/>
          <w:sz w:val="30"/>
          <w:szCs w:val="30"/>
        </w:rPr>
        <w:t>五开标</w:t>
      </w:r>
      <w:r>
        <w:rPr>
          <w:rFonts w:hint="eastAsia"/>
          <w:b/>
          <w:sz w:val="30"/>
          <w:szCs w:val="30"/>
        </w:rPr>
        <w:t>、资格审查</w:t>
      </w:r>
      <w:r>
        <w:rPr>
          <w:rFonts w:hint="eastAsia" w:ascii="Times New Roman" w:hAnsi="Times New Roman"/>
          <w:b/>
          <w:sz w:val="30"/>
          <w:szCs w:val="30"/>
        </w:rPr>
        <w:t>与评标</w:t>
      </w:r>
      <w:bookmarkEnd w:id="18"/>
    </w:p>
    <w:p>
      <w:pPr>
        <w:pStyle w:val="9"/>
        <w:spacing w:line="440" w:lineRule="exact"/>
        <w:rPr>
          <w:rFonts w:hAnsi="宋体"/>
          <w:bCs/>
          <w:sz w:val="24"/>
        </w:rPr>
      </w:pPr>
      <w:r>
        <w:rPr>
          <w:rFonts w:hint="eastAsia" w:hAnsi="宋体"/>
          <w:bCs/>
          <w:sz w:val="24"/>
        </w:rPr>
        <w:t>15.  开标</w:t>
      </w:r>
    </w:p>
    <w:p>
      <w:pPr>
        <w:pStyle w:val="9"/>
        <w:spacing w:line="440" w:lineRule="exact"/>
        <w:ind w:firstLine="359" w:firstLineChars="171"/>
        <w:rPr>
          <w:rFonts w:hAnsi="宋体"/>
        </w:rPr>
      </w:pPr>
      <w:r>
        <w:rPr>
          <w:rFonts w:hint="eastAsia" w:hAnsi="宋体"/>
        </w:rPr>
        <w:t>15.1  采购人将在本章第14.2项规定的投标截止时间（即开标时间）和投标人须知前附表规定的地点公开开标，投标人的法定代表人或其委托代理人应准时参加并签到。如未按时签到，由此产生的后果由投标人自行负责。</w:t>
      </w:r>
    </w:p>
    <w:p>
      <w:pPr>
        <w:pStyle w:val="9"/>
        <w:spacing w:line="440" w:lineRule="exact"/>
        <w:ind w:firstLine="359" w:firstLineChars="171"/>
        <w:rPr>
          <w:rFonts w:hAnsi="宋体"/>
        </w:rPr>
      </w:pPr>
      <w:r>
        <w:rPr>
          <w:rFonts w:hint="eastAsia" w:hAnsi="宋体"/>
        </w:rPr>
        <w:t>15.2  开标程序：</w:t>
      </w:r>
    </w:p>
    <w:p>
      <w:pPr>
        <w:pStyle w:val="9"/>
        <w:spacing w:line="440" w:lineRule="exact"/>
        <w:ind w:firstLine="720"/>
        <w:rPr>
          <w:rFonts w:hAnsi="宋体"/>
        </w:rPr>
      </w:pPr>
      <w:r>
        <w:rPr>
          <w:rFonts w:hint="eastAsia" w:hAnsi="宋体"/>
        </w:rPr>
        <w:t>（1）开标会由采购人主持，主持人宣布开标会议开始，介绍开标现场相关人员；</w:t>
      </w:r>
    </w:p>
    <w:p>
      <w:pPr>
        <w:pStyle w:val="9"/>
        <w:spacing w:line="440" w:lineRule="exact"/>
        <w:ind w:firstLine="720"/>
        <w:rPr>
          <w:rFonts w:hAnsi="宋体"/>
        </w:rPr>
      </w:pPr>
      <w:r>
        <w:rPr>
          <w:rFonts w:hint="eastAsia" w:hAnsi="宋体"/>
        </w:rPr>
        <w:t>（2）公布在投标截止时间前递交投标文件的投标人名称</w:t>
      </w:r>
    </w:p>
    <w:p>
      <w:pPr>
        <w:pStyle w:val="9"/>
        <w:spacing w:line="440" w:lineRule="exact"/>
        <w:ind w:firstLine="720"/>
        <w:rPr>
          <w:rFonts w:hAnsi="宋体"/>
        </w:rPr>
      </w:pPr>
      <w:r>
        <w:rPr>
          <w:rFonts w:hint="eastAsia" w:hAnsi="宋体"/>
        </w:rPr>
        <w:t>（3）投标人代表按本章第14.1项的规定交叉检查投标文件的密封情况，并签字确认；</w:t>
      </w:r>
    </w:p>
    <w:p>
      <w:pPr>
        <w:pStyle w:val="9"/>
        <w:spacing w:line="440" w:lineRule="exact"/>
        <w:ind w:firstLine="720"/>
        <w:rPr>
          <w:rFonts w:hAnsi="宋体"/>
        </w:rPr>
      </w:pPr>
      <w:r>
        <w:rPr>
          <w:rFonts w:hint="eastAsia" w:hAnsi="宋体"/>
        </w:rPr>
        <w:t xml:space="preserve">（4）当众拆封投标文件，由唱标人宣读投标人名称、分标名称、投标文件正副本数量、投标报价、     </w:t>
      </w:r>
    </w:p>
    <w:p>
      <w:pPr>
        <w:pStyle w:val="9"/>
        <w:spacing w:line="440" w:lineRule="exact"/>
        <w:ind w:firstLine="720"/>
        <w:rPr>
          <w:rFonts w:hAnsi="宋体"/>
        </w:rPr>
      </w:pPr>
      <w:r>
        <w:rPr>
          <w:rFonts w:hint="eastAsia" w:hAnsi="宋体"/>
        </w:rPr>
        <w:t xml:space="preserve"> 交货期等以及采购人认为有必要宣读的其他内容，记录人负责做开标记录；</w:t>
      </w:r>
    </w:p>
    <w:p>
      <w:pPr>
        <w:pStyle w:val="9"/>
        <w:spacing w:line="440" w:lineRule="exact"/>
        <w:ind w:firstLine="720"/>
        <w:rPr>
          <w:rFonts w:hAnsi="宋体"/>
        </w:rPr>
      </w:pPr>
      <w:r>
        <w:rPr>
          <w:rFonts w:hint="eastAsia" w:hAnsi="宋体"/>
        </w:rPr>
        <w:t>（5）相关人员在开标记录上签字确认；</w:t>
      </w:r>
    </w:p>
    <w:p>
      <w:pPr>
        <w:pStyle w:val="9"/>
        <w:spacing w:line="440" w:lineRule="exact"/>
        <w:ind w:firstLine="720"/>
        <w:rPr>
          <w:rFonts w:hAnsi="宋体"/>
        </w:rPr>
      </w:pPr>
      <w:r>
        <w:rPr>
          <w:rFonts w:hint="eastAsia" w:hAnsi="宋体"/>
        </w:rPr>
        <w:t>（6）宣布评标期间的有关事项；</w:t>
      </w:r>
    </w:p>
    <w:p>
      <w:pPr>
        <w:pStyle w:val="9"/>
        <w:spacing w:line="440" w:lineRule="exact"/>
        <w:ind w:firstLine="720"/>
        <w:rPr>
          <w:rFonts w:hAnsi="宋体"/>
        </w:rPr>
      </w:pPr>
      <w:r>
        <w:rPr>
          <w:rFonts w:hint="eastAsia" w:hAnsi="宋体"/>
        </w:rPr>
        <w:t>（7）开标结束。</w:t>
      </w:r>
    </w:p>
    <w:p>
      <w:pPr>
        <w:pStyle w:val="9"/>
        <w:spacing w:line="440" w:lineRule="exact"/>
        <w:rPr>
          <w:rFonts w:hAnsi="宋体"/>
          <w:szCs w:val="21"/>
        </w:rPr>
      </w:pPr>
      <w:r>
        <w:rPr>
          <w:rFonts w:hint="eastAsia" w:hAnsi="宋体"/>
          <w:szCs w:val="21"/>
        </w:rPr>
        <w:t>16.资格审查</w:t>
      </w:r>
    </w:p>
    <w:p>
      <w:pPr>
        <w:pStyle w:val="9"/>
        <w:spacing w:line="440" w:lineRule="exact"/>
        <w:ind w:firstLine="420" w:firstLineChars="200"/>
        <w:rPr>
          <w:rFonts w:hAnsi="宋体"/>
          <w:szCs w:val="21"/>
        </w:rPr>
      </w:pPr>
      <w:r>
        <w:rPr>
          <w:rFonts w:hint="eastAsia" w:hAnsi="宋体"/>
          <w:szCs w:val="21"/>
        </w:rPr>
        <w:t>采购人依据法律法规和招标文件的规定，对投标文件中的资格文件进行审查，以确定投标供应商是否具备投标资格。合格投标人不足3家的，不得评标。</w:t>
      </w:r>
    </w:p>
    <w:p>
      <w:pPr>
        <w:pStyle w:val="9"/>
        <w:spacing w:line="440" w:lineRule="exact"/>
        <w:rPr>
          <w:rFonts w:hAnsi="宋体"/>
          <w:bCs/>
          <w:sz w:val="24"/>
        </w:rPr>
      </w:pPr>
      <w:r>
        <w:rPr>
          <w:rFonts w:hint="eastAsia" w:hAnsi="宋体"/>
          <w:bCs/>
          <w:sz w:val="24"/>
        </w:rPr>
        <w:t>17.  评标</w:t>
      </w:r>
    </w:p>
    <w:p>
      <w:pPr>
        <w:pStyle w:val="9"/>
        <w:spacing w:line="440" w:lineRule="exact"/>
        <w:ind w:firstLine="420" w:firstLineChars="200"/>
        <w:rPr>
          <w:rFonts w:hAnsi="宋体"/>
        </w:rPr>
      </w:pPr>
      <w:r>
        <w:rPr>
          <w:rFonts w:hint="eastAsia" w:hAnsi="宋体"/>
        </w:rPr>
        <w:t>17.1  评标委员会：评标由依法组建的评标委员会负责。评标委员会由采购人派出的工作人员组成。</w:t>
      </w:r>
    </w:p>
    <w:p>
      <w:pPr>
        <w:pStyle w:val="9"/>
        <w:spacing w:line="440" w:lineRule="exact"/>
        <w:ind w:firstLine="360"/>
        <w:rPr>
          <w:rFonts w:hAnsi="宋体"/>
        </w:rPr>
      </w:pPr>
      <w:r>
        <w:rPr>
          <w:rFonts w:hint="eastAsia"/>
        </w:rPr>
        <w:t>17.2  评标原则：评标活动遵循公平、公正、科学和择优的原则。</w:t>
      </w:r>
    </w:p>
    <w:p>
      <w:pPr>
        <w:pStyle w:val="9"/>
        <w:spacing w:line="440" w:lineRule="exact"/>
        <w:ind w:firstLine="360"/>
        <w:rPr>
          <w:rFonts w:hAnsi="宋体"/>
        </w:rPr>
      </w:pPr>
      <w:r>
        <w:rPr>
          <w:rFonts w:hint="eastAsia" w:hAnsi="宋体"/>
        </w:rPr>
        <w:t>17.3  评标方法：</w:t>
      </w:r>
      <w:r>
        <w:rPr>
          <w:rFonts w:hint="eastAsia"/>
        </w:rPr>
        <w:t>评标委员会按照</w:t>
      </w:r>
      <w:r>
        <w:rPr>
          <w:rFonts w:hint="eastAsia" w:hAnsi="宋体"/>
        </w:rPr>
        <w:t>投标人须知前附表和</w:t>
      </w:r>
      <w:r>
        <w:rPr>
          <w:rFonts w:hint="eastAsia"/>
        </w:rPr>
        <w:t>第三章“评标方法”规定的方法、评审因素和标准对投标文件进行评审。在评标中，不得改变第三章“评标办法”规定的方法、评审因素和标准；第三章“评标办法”没有规定的方法、评审因素和标准，不作为评标依据。</w:t>
      </w:r>
    </w:p>
    <w:p>
      <w:pPr>
        <w:pStyle w:val="9"/>
        <w:spacing w:line="440" w:lineRule="exact"/>
        <w:ind w:firstLine="360"/>
        <w:rPr>
          <w:rFonts w:hAnsi="宋体"/>
          <w:bCs/>
        </w:rPr>
      </w:pPr>
      <w:r>
        <w:rPr>
          <w:rFonts w:hint="eastAsia" w:hAnsi="宋体"/>
        </w:rPr>
        <w:t xml:space="preserve">17.4  </w:t>
      </w:r>
      <w:r>
        <w:rPr>
          <w:rFonts w:hint="eastAsia" w:hAnsi="宋体"/>
          <w:bCs/>
        </w:rPr>
        <w:t>评标程序：</w:t>
      </w:r>
    </w:p>
    <w:p>
      <w:pPr>
        <w:pStyle w:val="9"/>
        <w:spacing w:line="440" w:lineRule="exact"/>
        <w:ind w:firstLine="360"/>
        <w:rPr>
          <w:rFonts w:hAnsi="宋体"/>
          <w:bCs/>
        </w:rPr>
      </w:pPr>
      <w:r>
        <w:rPr>
          <w:rFonts w:hint="eastAsia" w:hAnsi="宋体"/>
          <w:bCs/>
        </w:rPr>
        <w:t>17.4.1  采购人项目负责人宣读评标现场纪律要求，集中管理通讯工具，询问在场人员是否申请回避；</w:t>
      </w:r>
    </w:p>
    <w:p>
      <w:pPr>
        <w:pStyle w:val="9"/>
        <w:spacing w:line="440" w:lineRule="exact"/>
        <w:ind w:firstLine="360"/>
        <w:rPr>
          <w:rFonts w:hAnsi="宋体"/>
          <w:bCs/>
        </w:rPr>
      </w:pPr>
      <w:r>
        <w:rPr>
          <w:rFonts w:hint="eastAsia" w:hAnsi="宋体"/>
          <w:bCs/>
        </w:rPr>
        <w:t>17.4.2  采购人目负责人介绍项目概况及评标委员会组成情况（但不得发表影响评审的倾向性、歧视性言论），推选评标组长；</w:t>
      </w:r>
    </w:p>
    <w:p>
      <w:pPr>
        <w:pStyle w:val="9"/>
        <w:spacing w:line="440" w:lineRule="exact"/>
        <w:ind w:firstLine="360"/>
        <w:rPr>
          <w:rFonts w:hAnsi="宋体"/>
          <w:bCs/>
        </w:rPr>
      </w:pPr>
      <w:r>
        <w:rPr>
          <w:rFonts w:hint="eastAsia" w:hAnsi="宋体"/>
          <w:bCs/>
        </w:rPr>
        <w:t>17.4.3  评标委员会按分工开展评标工作：</w:t>
      </w:r>
    </w:p>
    <w:p>
      <w:pPr>
        <w:pStyle w:val="9"/>
        <w:spacing w:line="440" w:lineRule="exact"/>
        <w:ind w:firstLine="720"/>
        <w:rPr>
          <w:rFonts w:hAnsi="宋体"/>
        </w:rPr>
      </w:pPr>
      <w:r>
        <w:rPr>
          <w:rFonts w:hint="eastAsia" w:hAnsi="宋体"/>
        </w:rPr>
        <w:t>17.4.3.1投标文件初审。符合性检查：依据招标文件的规定，从投标文件的有效性、完整性和对招标文件的响应程度进行审查，以确定是否对招标文件的实质性要求和条件作出响应。</w:t>
      </w:r>
    </w:p>
    <w:p>
      <w:pPr>
        <w:pStyle w:val="9"/>
        <w:spacing w:line="440" w:lineRule="exact"/>
        <w:ind w:firstLine="718" w:firstLineChars="342"/>
        <w:rPr>
          <w:rFonts w:hAnsi="宋体"/>
        </w:rPr>
      </w:pPr>
      <w:r>
        <w:rPr>
          <w:rFonts w:hint="eastAsia" w:hAnsi="宋体"/>
        </w:rPr>
        <w:t>(1)有下列情形之一的视为投标人相互串通投标，投标文件将被视为无效。</w:t>
      </w:r>
    </w:p>
    <w:p>
      <w:pPr>
        <w:widowControl/>
        <w:spacing w:line="440" w:lineRule="exact"/>
        <w:ind w:firstLine="640"/>
        <w:jc w:val="left"/>
        <w:rPr>
          <w:rFonts w:ascii="宋体" w:hAnsi="宋体"/>
        </w:rPr>
      </w:pPr>
      <w:r>
        <w:rPr>
          <w:rFonts w:hint="eastAsia" w:ascii="宋体" w:hAnsi="宋体"/>
        </w:rPr>
        <w:t>①不同投标人的投标文件由同一单位或者个人编制；或不同投标人报名的IP地址一致的;</w:t>
      </w:r>
    </w:p>
    <w:p>
      <w:pPr>
        <w:widowControl/>
        <w:spacing w:line="440" w:lineRule="exact"/>
        <w:ind w:firstLine="640"/>
        <w:jc w:val="left"/>
        <w:rPr>
          <w:rFonts w:ascii="宋体" w:hAnsi="宋体"/>
        </w:rPr>
      </w:pPr>
      <w:r>
        <w:rPr>
          <w:rFonts w:hint="eastAsia" w:ascii="宋体" w:hAnsi="宋体"/>
        </w:rPr>
        <w:t>②不同投标人委托同一单位或者个人办理投标事宜;</w:t>
      </w:r>
    </w:p>
    <w:p>
      <w:pPr>
        <w:widowControl/>
        <w:spacing w:line="440" w:lineRule="exact"/>
        <w:ind w:firstLine="640"/>
        <w:jc w:val="left"/>
        <w:rPr>
          <w:rFonts w:ascii="宋体" w:hAnsi="宋体"/>
        </w:rPr>
      </w:pPr>
      <w:r>
        <w:rPr>
          <w:rFonts w:hint="eastAsia" w:ascii="宋体" w:hAnsi="宋体"/>
        </w:rPr>
        <w:t>③不同的投标人的投标文件载明的项目管理员为同一个人;</w:t>
      </w:r>
    </w:p>
    <w:p>
      <w:pPr>
        <w:widowControl/>
        <w:spacing w:line="440" w:lineRule="exact"/>
        <w:ind w:firstLine="640"/>
        <w:jc w:val="left"/>
        <w:rPr>
          <w:rFonts w:ascii="宋体" w:hAnsi="宋体"/>
        </w:rPr>
      </w:pPr>
      <w:r>
        <w:rPr>
          <w:rFonts w:hint="eastAsia" w:ascii="宋体" w:hAnsi="宋体"/>
        </w:rPr>
        <w:t>④不同投标人的投标文件异常一致或投标报价呈规律性差异;</w:t>
      </w:r>
    </w:p>
    <w:p>
      <w:pPr>
        <w:widowControl/>
        <w:spacing w:line="440" w:lineRule="exact"/>
        <w:ind w:firstLine="640"/>
        <w:jc w:val="left"/>
        <w:rPr>
          <w:rFonts w:ascii="宋体" w:hAnsi="宋体"/>
        </w:rPr>
      </w:pPr>
      <w:r>
        <w:rPr>
          <w:rFonts w:hint="eastAsia" w:ascii="宋体" w:hAnsi="宋体"/>
        </w:rPr>
        <w:t>⑤不同投标人的投标文件相互混装;</w:t>
      </w:r>
    </w:p>
    <w:p>
      <w:pPr>
        <w:widowControl/>
        <w:spacing w:line="440" w:lineRule="exact"/>
        <w:ind w:firstLine="640"/>
        <w:jc w:val="left"/>
        <w:rPr>
          <w:rFonts w:ascii="宋体" w:hAnsi="宋体"/>
        </w:rPr>
      </w:pPr>
      <w:r>
        <w:rPr>
          <w:rFonts w:hint="eastAsia" w:ascii="宋体" w:hAnsi="宋体"/>
        </w:rPr>
        <w:t>⑥不同投标人的投标保证金从同一单位或者个人账户转出。</w:t>
      </w:r>
    </w:p>
    <w:p>
      <w:pPr>
        <w:widowControl/>
        <w:spacing w:line="440" w:lineRule="exact"/>
        <w:ind w:firstLine="640"/>
        <w:jc w:val="left"/>
        <w:rPr>
          <w:rFonts w:ascii="宋体" w:hAnsi="宋体"/>
        </w:rPr>
      </w:pPr>
      <w:r>
        <w:rPr>
          <w:rFonts w:hint="eastAsia" w:ascii="宋体" w:hAnsi="宋体"/>
        </w:rPr>
        <w:t>（2）关联供应商不得参加同一合同项下采购活动，否则投标文件将被视为无效</w:t>
      </w:r>
    </w:p>
    <w:p>
      <w:pPr>
        <w:widowControl/>
        <w:spacing w:line="440" w:lineRule="exact"/>
        <w:ind w:firstLine="640"/>
        <w:jc w:val="left"/>
        <w:rPr>
          <w:rFonts w:ascii="宋体" w:hAnsi="宋体"/>
        </w:rPr>
      </w:pPr>
      <w:r>
        <w:rPr>
          <w:rFonts w:hint="eastAsia" w:ascii="宋体" w:hAnsi="宋体"/>
        </w:rPr>
        <w:t>①单位负责人为同一人或者存在直接控股、管理关系的不同的供应商，不得参加同一合同项下的采购活动;</w:t>
      </w:r>
    </w:p>
    <w:p>
      <w:pPr>
        <w:widowControl/>
        <w:spacing w:line="440" w:lineRule="exact"/>
        <w:ind w:firstLine="640"/>
        <w:jc w:val="left"/>
        <w:rPr>
          <w:rFonts w:ascii="宋体" w:hAnsi="宋体"/>
        </w:rPr>
      </w:pPr>
      <w:r>
        <w:rPr>
          <w:rFonts w:hint="eastAsia" w:ascii="宋体" w:hAnsi="宋体"/>
        </w:rPr>
        <w:t>②生产厂商授权给供应商后自己不得参加同一合同项下的采购活动；生产厂商对同一品牌同一型号的货物，仅能委托一个代理商参加投标。</w:t>
      </w:r>
    </w:p>
    <w:p>
      <w:pPr>
        <w:pStyle w:val="9"/>
        <w:spacing w:line="440" w:lineRule="exact"/>
        <w:ind w:firstLine="720"/>
        <w:rPr>
          <w:rFonts w:hAnsi="宋体"/>
        </w:rPr>
      </w:pPr>
      <w:r>
        <w:rPr>
          <w:rFonts w:hint="eastAsia" w:hAnsi="宋体"/>
        </w:rPr>
        <w:t>17.4.3.2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9"/>
        <w:spacing w:line="440" w:lineRule="exact"/>
        <w:ind w:firstLine="840" w:firstLineChars="400"/>
        <w:rPr>
          <w:rFonts w:hAnsi="宋体"/>
        </w:rPr>
      </w:pPr>
      <w:r>
        <w:rPr>
          <w:rFonts w:hint="eastAsia" w:hAnsi="宋体"/>
        </w:rPr>
        <w:t>17.4.3.3比较与评价。按招标文件中规定的评标方法和标准，对资格性检查和符合性检查合格的投标文件进行商务和技术评估，综合比较与评价。在对商务、技术及其他内容的比较和评价结束前，评标委员会不能接触、比较和评价投标报价。</w:t>
      </w:r>
    </w:p>
    <w:p>
      <w:pPr>
        <w:pStyle w:val="9"/>
        <w:spacing w:line="440" w:lineRule="exact"/>
        <w:ind w:firstLine="840" w:firstLineChars="400"/>
        <w:rPr>
          <w:rFonts w:hAnsi="宋体"/>
        </w:rPr>
      </w:pPr>
      <w:r>
        <w:rPr>
          <w:rFonts w:hint="eastAsia" w:hAnsi="宋体"/>
        </w:rPr>
        <w:t>17.4.3.4报价</w:t>
      </w:r>
      <w:r>
        <w:rPr>
          <w:rFonts w:hint="eastAsia" w:hAnsi="宋体"/>
          <w:szCs w:val="21"/>
        </w:rPr>
        <w:t>评审。评标委员会对投标人的报价文件进行评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9"/>
        <w:spacing w:line="440" w:lineRule="exact"/>
        <w:ind w:firstLine="720"/>
        <w:rPr>
          <w:rFonts w:hAnsi="宋体"/>
        </w:rPr>
      </w:pPr>
      <w:r>
        <w:rPr>
          <w:rFonts w:hint="eastAsia" w:hAnsi="宋体"/>
        </w:rPr>
        <w:t>17.4.3.5编写评标报告，并确定中标单位名单。</w:t>
      </w:r>
    </w:p>
    <w:p>
      <w:pPr>
        <w:pStyle w:val="9"/>
        <w:spacing w:line="440" w:lineRule="exact"/>
        <w:ind w:firstLine="720"/>
        <w:rPr>
          <w:rFonts w:hAnsi="宋体"/>
          <w:bCs/>
        </w:rPr>
      </w:pPr>
      <w:r>
        <w:rPr>
          <w:rFonts w:hint="eastAsia" w:hAnsi="宋体"/>
        </w:rPr>
        <w:t>17.4.4  整个现场评标过程中，采购人应严格按照招标文件既定的程序组织评委评审，针对评委作出的评分、评标结论现场认真进行核对和复核，如有错漏，应及时请当事评委进行校正。</w:t>
      </w:r>
    </w:p>
    <w:p>
      <w:pPr>
        <w:pStyle w:val="9"/>
        <w:spacing w:line="440" w:lineRule="exact"/>
        <w:ind w:firstLine="359" w:firstLineChars="171"/>
        <w:rPr>
          <w:rFonts w:hAnsi="宋体"/>
        </w:rPr>
      </w:pPr>
      <w:r>
        <w:rPr>
          <w:rFonts w:hint="eastAsia" w:hAnsi="宋体"/>
        </w:rPr>
        <w:t>17.5  在确定中标单位前，采购人不得与投标供应商就投标价格、投标方案等实质性内容进行谈判。</w:t>
      </w:r>
    </w:p>
    <w:p>
      <w:pPr>
        <w:pStyle w:val="9"/>
        <w:spacing w:line="440" w:lineRule="exact"/>
        <w:ind w:firstLine="359" w:firstLineChars="171"/>
        <w:rPr>
          <w:rFonts w:hAnsi="宋体"/>
        </w:rPr>
      </w:pPr>
      <w:r>
        <w:rPr>
          <w:rFonts w:hint="eastAsia" w:hAnsi="宋体"/>
        </w:rPr>
        <w:t>17.6  评标过程的保密。评标在严格保密的情况下进行，任何单位和个人不得非法干预、影响评标办法的确定，以及评标过程和结果。评标委员会成员和参与评标的有关工作人员不得透露对投标文件的评审和比较、中标候选人的推荐情况以及与评标有关的其他情况。</w:t>
      </w:r>
    </w:p>
    <w:p>
      <w:pPr>
        <w:pStyle w:val="9"/>
        <w:spacing w:line="440" w:lineRule="exact"/>
        <w:rPr>
          <w:bCs/>
          <w:sz w:val="24"/>
        </w:rPr>
      </w:pPr>
      <w:r>
        <w:rPr>
          <w:rFonts w:hint="eastAsia"/>
          <w:bCs/>
          <w:sz w:val="24"/>
        </w:rPr>
        <w:t>18.  投标文件的修正</w:t>
      </w:r>
    </w:p>
    <w:p>
      <w:pPr>
        <w:pStyle w:val="9"/>
        <w:spacing w:line="440" w:lineRule="exact"/>
        <w:ind w:firstLine="359" w:firstLineChars="171"/>
        <w:rPr>
          <w:rFonts w:hAnsi="宋体"/>
        </w:rPr>
      </w:pPr>
      <w:r>
        <w:rPr>
          <w:rFonts w:hint="eastAsia" w:hAnsi="宋体"/>
        </w:rPr>
        <w:t>18.1  如果出现计算或表达上的错误，修正的原则如下：</w:t>
      </w:r>
    </w:p>
    <w:p>
      <w:pPr>
        <w:pStyle w:val="9"/>
        <w:spacing w:line="440" w:lineRule="exact"/>
        <w:ind w:firstLine="720"/>
        <w:rPr>
          <w:rFonts w:hAnsi="宋体"/>
          <w:bCs/>
          <w:szCs w:val="21"/>
        </w:rPr>
      </w:pPr>
      <w:r>
        <w:rPr>
          <w:rFonts w:hint="eastAsia" w:hAnsi="宋体"/>
          <w:szCs w:val="21"/>
        </w:rPr>
        <w:t>（1）</w:t>
      </w:r>
      <w:r>
        <w:rPr>
          <w:rFonts w:hint="eastAsia" w:hAnsi="宋体" w:cs="宋体"/>
          <w:szCs w:val="21"/>
        </w:rPr>
        <w:t>投标文件中开标一览表（报价表）内容与投标文件中相应内容不一致的，以开标一览表（报价表）为准</w:t>
      </w:r>
      <w:r>
        <w:rPr>
          <w:rFonts w:hint="eastAsia" w:hAnsi="宋体"/>
          <w:szCs w:val="21"/>
        </w:rPr>
        <w:t>；</w:t>
      </w:r>
    </w:p>
    <w:p>
      <w:pPr>
        <w:pStyle w:val="9"/>
        <w:spacing w:line="440" w:lineRule="exact"/>
        <w:ind w:firstLine="720"/>
        <w:rPr>
          <w:rFonts w:hAnsi="宋体"/>
          <w:bCs/>
          <w:szCs w:val="21"/>
        </w:rPr>
      </w:pPr>
      <w:r>
        <w:rPr>
          <w:rFonts w:hint="eastAsia" w:hAnsi="宋体"/>
          <w:szCs w:val="21"/>
        </w:rPr>
        <w:t>（2）投标文件的大写金额和小写金额不一致的，以大写金额为准；</w:t>
      </w:r>
    </w:p>
    <w:p>
      <w:pPr>
        <w:pStyle w:val="9"/>
        <w:spacing w:line="440" w:lineRule="exact"/>
        <w:ind w:firstLine="720"/>
        <w:rPr>
          <w:rFonts w:hAnsi="宋体"/>
          <w:bCs/>
          <w:szCs w:val="21"/>
        </w:rPr>
      </w:pPr>
      <w:r>
        <w:rPr>
          <w:rFonts w:hint="eastAsia" w:hAnsi="宋体"/>
          <w:szCs w:val="21"/>
        </w:rPr>
        <w:t>（3）</w:t>
      </w:r>
      <w:r>
        <w:rPr>
          <w:rFonts w:hint="eastAsia" w:hAnsi="宋体" w:cs="宋体"/>
          <w:szCs w:val="21"/>
        </w:rPr>
        <w:t>单价金额小数点或者百分比有明显错位的，以开标一览表的总价为准，并修改单价</w:t>
      </w:r>
      <w:r>
        <w:rPr>
          <w:rFonts w:hint="eastAsia" w:hAnsi="宋体"/>
          <w:szCs w:val="21"/>
        </w:rPr>
        <w:t>；</w:t>
      </w:r>
    </w:p>
    <w:p>
      <w:pPr>
        <w:pStyle w:val="9"/>
        <w:spacing w:line="440" w:lineRule="exact"/>
        <w:ind w:firstLine="720"/>
        <w:rPr>
          <w:rFonts w:hAnsi="宋体"/>
          <w:bCs/>
          <w:sz w:val="24"/>
        </w:rPr>
      </w:pPr>
      <w:r>
        <w:rPr>
          <w:rFonts w:hint="eastAsia" w:hAnsi="宋体"/>
        </w:rPr>
        <w:t>（4）</w:t>
      </w:r>
      <w:r>
        <w:rPr>
          <w:rFonts w:hint="eastAsia" w:hAnsi="宋体" w:cs="宋体"/>
          <w:szCs w:val="21"/>
        </w:rPr>
        <w:t>总价金额与按单价汇总金额不一致的，以单价金额计算结果为准</w:t>
      </w:r>
      <w:r>
        <w:rPr>
          <w:rFonts w:hint="eastAsia" w:hAnsi="宋体"/>
        </w:rPr>
        <w:t>。</w:t>
      </w:r>
    </w:p>
    <w:p>
      <w:pPr>
        <w:pStyle w:val="9"/>
        <w:spacing w:line="440" w:lineRule="exact"/>
        <w:ind w:firstLine="360"/>
        <w:rPr>
          <w:rFonts w:hAnsi="宋体"/>
        </w:rPr>
      </w:pPr>
      <w:r>
        <w:rPr>
          <w:rFonts w:hint="eastAsia" w:hAnsi="宋体"/>
        </w:rPr>
        <w:t xml:space="preserve">18.2  </w:t>
      </w:r>
      <w:r>
        <w:rPr>
          <w:rFonts w:hint="eastAsia" w:hAnsi="宋体" w:cs="宋体"/>
          <w:szCs w:val="21"/>
        </w:rPr>
        <w:t>同时出现两种以上不一致的，按照前款规定的顺序修正</w:t>
      </w:r>
      <w:r>
        <w:rPr>
          <w:rFonts w:hAnsi="宋体" w:cs="宋体"/>
          <w:szCs w:val="21"/>
        </w:rPr>
        <w:t>,</w:t>
      </w:r>
      <w:r>
        <w:rPr>
          <w:rFonts w:hint="eastAsia" w:hAnsi="宋体"/>
        </w:rPr>
        <w:t>修正后的投标报价经投标人书面确认后对投标人具有约束力。如果投标人不接受修正后的投标报价，则其投标无效且其投标保证金不予退回。</w:t>
      </w:r>
    </w:p>
    <w:p>
      <w:pPr>
        <w:pStyle w:val="9"/>
        <w:spacing w:line="440" w:lineRule="exact"/>
        <w:rPr>
          <w:rFonts w:hAnsi="宋体"/>
          <w:b/>
          <w:bCs/>
          <w:sz w:val="24"/>
        </w:rPr>
      </w:pPr>
      <w:r>
        <w:rPr>
          <w:rFonts w:hint="eastAsia" w:hAnsi="宋体"/>
          <w:b/>
          <w:bCs/>
          <w:sz w:val="24"/>
        </w:rPr>
        <w:t>19.  拒绝接收</w:t>
      </w:r>
    </w:p>
    <w:p>
      <w:pPr>
        <w:pStyle w:val="9"/>
        <w:spacing w:line="440" w:lineRule="exact"/>
        <w:ind w:firstLine="720"/>
      </w:pPr>
      <w:r>
        <w:rPr>
          <w:rFonts w:hint="eastAsia"/>
        </w:rPr>
        <w:t xml:space="preserve">19.1  </w:t>
      </w:r>
      <w:r>
        <w:rPr>
          <w:rFonts w:hint="eastAsia" w:hAnsi="宋体"/>
        </w:rPr>
        <w:t>投标人</w:t>
      </w:r>
      <w:r>
        <w:rPr>
          <w:rFonts w:hint="eastAsia"/>
        </w:rPr>
        <w:t>未按本章第1.7项报名要求报名的。</w:t>
      </w:r>
    </w:p>
    <w:p>
      <w:pPr>
        <w:pStyle w:val="9"/>
        <w:spacing w:line="440" w:lineRule="exact"/>
        <w:ind w:firstLine="720"/>
        <w:rPr>
          <w:rFonts w:hAnsi="宋体"/>
        </w:rPr>
      </w:pPr>
      <w:r>
        <w:rPr>
          <w:rFonts w:hint="eastAsia"/>
        </w:rPr>
        <w:t xml:space="preserve">19.2  </w:t>
      </w:r>
      <w:r>
        <w:rPr>
          <w:rFonts w:hint="eastAsia" w:hAnsi="宋体"/>
        </w:rPr>
        <w:t>投标人</w:t>
      </w:r>
      <w:r>
        <w:rPr>
          <w:rFonts w:hint="eastAsia"/>
        </w:rPr>
        <w:t>未在本章第14.2项规定的时间之前将投标文件送达至本章第14.3项指定地点的</w:t>
      </w:r>
      <w:r>
        <w:rPr>
          <w:rFonts w:hint="eastAsia" w:hAnsi="宋体"/>
        </w:rPr>
        <w:t>，采购人应当拒绝接收该投标人的投标文件。</w:t>
      </w:r>
    </w:p>
    <w:p>
      <w:pPr>
        <w:pStyle w:val="9"/>
        <w:spacing w:line="440" w:lineRule="exact"/>
        <w:ind w:firstLine="720"/>
        <w:rPr>
          <w:rFonts w:hAnsi="宋体"/>
        </w:rPr>
      </w:pPr>
      <w:r>
        <w:rPr>
          <w:rFonts w:hint="eastAsia"/>
        </w:rPr>
        <w:t xml:space="preserve">19.3  </w:t>
      </w:r>
      <w:r>
        <w:rPr>
          <w:rFonts w:hint="eastAsia" w:hAnsi="宋体"/>
        </w:rPr>
        <w:t>投标人</w:t>
      </w:r>
      <w:r>
        <w:rPr>
          <w:rFonts w:hint="eastAsia"/>
        </w:rPr>
        <w:t>未在本章第14.4项规定的</w:t>
      </w:r>
      <w:r>
        <w:rPr>
          <w:rFonts w:hint="eastAsia" w:hAnsi="宋体"/>
        </w:rPr>
        <w:t>时间</w:t>
      </w:r>
      <w:r>
        <w:rPr>
          <w:rFonts w:hint="eastAsia"/>
        </w:rPr>
        <w:t>之前将投标样品送达至本章第14.5项指定地点的</w:t>
      </w:r>
      <w:r>
        <w:rPr>
          <w:rFonts w:hint="eastAsia" w:hAnsi="宋体"/>
        </w:rPr>
        <w:t>，采购人应当拒绝接收该投标人的投标样品。</w:t>
      </w:r>
    </w:p>
    <w:p>
      <w:pPr>
        <w:pStyle w:val="9"/>
        <w:spacing w:line="440" w:lineRule="exact"/>
        <w:rPr>
          <w:rFonts w:hAnsi="宋体"/>
          <w:b/>
          <w:bCs/>
          <w:sz w:val="24"/>
        </w:rPr>
      </w:pPr>
      <w:r>
        <w:rPr>
          <w:rFonts w:hint="eastAsia" w:hAnsi="宋体"/>
          <w:b/>
          <w:bCs/>
          <w:sz w:val="24"/>
        </w:rPr>
        <w:t>20.  无效投标</w:t>
      </w:r>
    </w:p>
    <w:p>
      <w:pPr>
        <w:pStyle w:val="9"/>
        <w:spacing w:line="440" w:lineRule="exact"/>
        <w:ind w:firstLine="359" w:firstLineChars="171"/>
        <w:rPr>
          <w:rFonts w:hAnsi="宋体"/>
        </w:rPr>
      </w:pPr>
      <w:r>
        <w:rPr>
          <w:rFonts w:hint="eastAsia" w:hAnsi="宋体"/>
        </w:rPr>
        <w:t>20.1  属下列情形之一的，投标人的投标无效：</w:t>
      </w:r>
    </w:p>
    <w:p>
      <w:pPr>
        <w:pStyle w:val="9"/>
        <w:spacing w:line="440" w:lineRule="exact"/>
        <w:ind w:firstLine="718" w:firstLineChars="342"/>
        <w:rPr>
          <w:rFonts w:hAnsi="宋体"/>
        </w:rPr>
      </w:pPr>
      <w:r>
        <w:rPr>
          <w:rFonts w:hint="eastAsia" w:hAnsi="宋体"/>
        </w:rPr>
        <w:t>（1）投标人或投标文件不符合本章第3项规定的；</w:t>
      </w:r>
    </w:p>
    <w:p>
      <w:pPr>
        <w:pStyle w:val="9"/>
        <w:spacing w:line="440" w:lineRule="exact"/>
        <w:ind w:firstLine="718" w:firstLineChars="342"/>
        <w:rPr>
          <w:rFonts w:hAnsi="宋体"/>
        </w:rPr>
      </w:pPr>
      <w:r>
        <w:rPr>
          <w:rFonts w:hint="eastAsia" w:hAnsi="宋体"/>
        </w:rPr>
        <w:t xml:space="preserve">（2）投标文件未按本章第8.8项的规定标识或未按规定的正、副本数量递交的； </w:t>
      </w:r>
    </w:p>
    <w:p>
      <w:pPr>
        <w:pStyle w:val="9"/>
        <w:spacing w:line="440" w:lineRule="exact"/>
        <w:ind w:firstLine="718" w:firstLineChars="342"/>
        <w:rPr>
          <w:rFonts w:hAnsi="宋体"/>
        </w:rPr>
      </w:pPr>
      <w:r>
        <w:rPr>
          <w:rFonts w:hint="eastAsia" w:hAnsi="宋体"/>
        </w:rPr>
        <w:t>（3）投标文件未按本章第10.1项的规定编写和提交的（包括缺少应提交的文件或格式不符合第五章“投标文件格式”的要求）；</w:t>
      </w:r>
    </w:p>
    <w:p>
      <w:pPr>
        <w:pStyle w:val="9"/>
        <w:spacing w:line="440" w:lineRule="exact"/>
        <w:ind w:firstLine="718" w:firstLineChars="342"/>
        <w:rPr>
          <w:rFonts w:hAnsi="宋体"/>
        </w:rPr>
      </w:pPr>
      <w:r>
        <w:rPr>
          <w:rFonts w:hint="eastAsia" w:hAnsi="宋体"/>
        </w:rPr>
        <w:t>（4）投标文件不符合本章第10.2项规定的；</w:t>
      </w:r>
    </w:p>
    <w:p>
      <w:pPr>
        <w:pStyle w:val="9"/>
        <w:spacing w:line="440" w:lineRule="exact"/>
        <w:ind w:firstLine="718" w:firstLineChars="342"/>
        <w:rPr>
          <w:rFonts w:hAnsi="宋体"/>
        </w:rPr>
      </w:pPr>
      <w:r>
        <w:rPr>
          <w:rFonts w:hint="eastAsia" w:hAnsi="宋体"/>
        </w:rPr>
        <w:t>（5）投标人报价不符合本章第11项规定或超过采购预算的或评标委员会认定</w:t>
      </w:r>
      <w:r>
        <w:rPr>
          <w:rFonts w:hint="eastAsia" w:hAnsi="宋体"/>
          <w:szCs w:val="21"/>
        </w:rPr>
        <w:t>属于17.4.3.4条规定的投标无效情形</w:t>
      </w:r>
      <w:r>
        <w:rPr>
          <w:rFonts w:hint="eastAsia" w:hAnsi="宋体"/>
        </w:rPr>
        <w:t>的；</w:t>
      </w:r>
    </w:p>
    <w:p>
      <w:pPr>
        <w:pStyle w:val="9"/>
        <w:spacing w:line="440" w:lineRule="exact"/>
        <w:ind w:firstLine="718" w:firstLineChars="342"/>
        <w:rPr>
          <w:rFonts w:hAnsi="宋体"/>
        </w:rPr>
      </w:pPr>
      <w:r>
        <w:rPr>
          <w:rFonts w:hint="eastAsia" w:hAnsi="宋体"/>
        </w:rPr>
        <w:t>（6）投标人未能按本章第13.2项的要求出具已交纳投标保证金的相关证明的；</w:t>
      </w:r>
    </w:p>
    <w:p>
      <w:pPr>
        <w:pStyle w:val="9"/>
        <w:spacing w:line="440" w:lineRule="exact"/>
        <w:ind w:firstLine="718" w:firstLineChars="342"/>
        <w:rPr>
          <w:rFonts w:hAnsi="宋体"/>
        </w:rPr>
      </w:pPr>
      <w:r>
        <w:rPr>
          <w:rFonts w:hint="eastAsia" w:hAnsi="宋体"/>
        </w:rPr>
        <w:t>（7）投标文件不符合本章第14.1项规定的；</w:t>
      </w:r>
    </w:p>
    <w:p>
      <w:pPr>
        <w:pStyle w:val="9"/>
        <w:spacing w:line="440" w:lineRule="exact"/>
        <w:ind w:firstLine="718" w:firstLineChars="342"/>
        <w:rPr>
          <w:rFonts w:hAnsi="宋体"/>
        </w:rPr>
      </w:pPr>
      <w:r>
        <w:rPr>
          <w:rFonts w:hint="eastAsia" w:hAnsi="宋体"/>
        </w:rPr>
        <w:t>（8）投标人出现本章第17.4.3.1项所述的投标文件将被视为无效的情形的；</w:t>
      </w:r>
    </w:p>
    <w:p>
      <w:pPr>
        <w:pStyle w:val="9"/>
        <w:spacing w:line="440" w:lineRule="exact"/>
        <w:ind w:firstLine="718" w:firstLineChars="342"/>
        <w:rPr>
          <w:rFonts w:hAnsi="宋体"/>
        </w:rPr>
      </w:pPr>
      <w:r>
        <w:rPr>
          <w:rFonts w:hint="eastAsia" w:hAnsi="宋体"/>
        </w:rPr>
        <w:t>（9）投标人出现本章第18.2项所述情形的；</w:t>
      </w:r>
    </w:p>
    <w:p>
      <w:pPr>
        <w:pStyle w:val="9"/>
        <w:spacing w:line="440" w:lineRule="exact"/>
        <w:ind w:firstLine="718" w:firstLineChars="342"/>
        <w:rPr>
          <w:rFonts w:hAnsi="宋体"/>
        </w:rPr>
      </w:pPr>
      <w:r>
        <w:rPr>
          <w:rFonts w:hint="eastAsia" w:hAnsi="宋体"/>
        </w:rPr>
        <w:t>（10）投标文件未对招标文件提出的要求和条件作出实质性响应的；</w:t>
      </w:r>
    </w:p>
    <w:p>
      <w:pPr>
        <w:pStyle w:val="9"/>
        <w:spacing w:line="440" w:lineRule="exact"/>
        <w:ind w:firstLine="718" w:firstLineChars="342"/>
        <w:rPr>
          <w:rFonts w:hAnsi="宋体"/>
        </w:rPr>
      </w:pPr>
      <w:r>
        <w:rPr>
          <w:rFonts w:hint="eastAsia" w:hAnsi="宋体"/>
        </w:rPr>
        <w:t>（11）投标文件附有采购需求以外的条件使评标委员会认为不能接受的；</w:t>
      </w:r>
    </w:p>
    <w:p>
      <w:pPr>
        <w:pStyle w:val="9"/>
        <w:spacing w:line="440" w:lineRule="exact"/>
        <w:ind w:firstLine="718" w:firstLineChars="342"/>
        <w:rPr>
          <w:rFonts w:hAnsi="宋体"/>
        </w:rPr>
      </w:pPr>
      <w:r>
        <w:rPr>
          <w:rFonts w:hint="eastAsia" w:hAnsi="宋体"/>
        </w:rPr>
        <w:t>（12）投标人在投标过程中提供虚假材料的；</w:t>
      </w:r>
    </w:p>
    <w:p>
      <w:pPr>
        <w:pStyle w:val="9"/>
        <w:spacing w:line="440" w:lineRule="exact"/>
        <w:ind w:firstLine="718" w:firstLineChars="342"/>
        <w:rPr>
          <w:rFonts w:hAnsi="宋体"/>
        </w:rPr>
      </w:pPr>
      <w:r>
        <w:rPr>
          <w:rFonts w:hint="eastAsia" w:hAnsi="宋体"/>
        </w:rPr>
        <w:t>（13）投标文件含有违反国家法律、法规的内容；</w:t>
      </w:r>
    </w:p>
    <w:p>
      <w:pPr>
        <w:pStyle w:val="9"/>
        <w:spacing w:line="440" w:lineRule="exact"/>
        <w:ind w:firstLine="718" w:firstLineChars="342"/>
        <w:rPr>
          <w:rFonts w:hAnsi="宋体"/>
        </w:rPr>
      </w:pPr>
      <w:r>
        <w:rPr>
          <w:rFonts w:hint="eastAsia" w:hAnsi="宋体"/>
        </w:rPr>
        <w:t>（14）投标报价</w:t>
      </w:r>
      <w:r>
        <w:rPr>
          <w:rFonts w:hint="eastAsia" w:hAnsi="宋体"/>
          <w:szCs w:val="21"/>
        </w:rPr>
        <w:t>超过采购预算的，</w:t>
      </w:r>
      <w:r>
        <w:rPr>
          <w:rFonts w:hint="eastAsia"/>
        </w:rPr>
        <w:t>每种设备单价报价超过其采购预算单价的</w:t>
      </w:r>
      <w:r>
        <w:rPr>
          <w:rFonts w:hint="eastAsia" w:hAnsi="宋体"/>
          <w:szCs w:val="21"/>
        </w:rPr>
        <w:t>。</w:t>
      </w:r>
    </w:p>
    <w:p>
      <w:pPr>
        <w:pStyle w:val="9"/>
        <w:spacing w:line="440" w:lineRule="exact"/>
        <w:rPr>
          <w:rFonts w:hAnsi="宋体"/>
          <w:b/>
          <w:bCs/>
          <w:sz w:val="24"/>
        </w:rPr>
      </w:pPr>
      <w:r>
        <w:rPr>
          <w:rFonts w:hint="eastAsia" w:hAnsi="宋体"/>
          <w:b/>
          <w:bCs/>
          <w:sz w:val="24"/>
        </w:rPr>
        <w:t>21.  废标</w:t>
      </w:r>
    </w:p>
    <w:p>
      <w:pPr>
        <w:pStyle w:val="9"/>
        <w:spacing w:line="440" w:lineRule="exact"/>
        <w:ind w:firstLine="359" w:firstLineChars="171"/>
        <w:rPr>
          <w:rFonts w:hAnsi="宋体"/>
        </w:rPr>
      </w:pPr>
      <w:r>
        <w:rPr>
          <w:rFonts w:hint="eastAsia" w:hAnsi="宋体"/>
        </w:rPr>
        <w:t>21.1  在招标过程中，出现下列情形之一的，予以废标：</w:t>
      </w:r>
    </w:p>
    <w:p>
      <w:pPr>
        <w:pStyle w:val="9"/>
        <w:spacing w:line="440" w:lineRule="exact"/>
        <w:ind w:firstLine="720"/>
        <w:rPr>
          <w:rFonts w:hAnsi="宋体"/>
        </w:rPr>
      </w:pPr>
      <w:r>
        <w:rPr>
          <w:rFonts w:hint="eastAsia" w:hAnsi="宋体"/>
        </w:rPr>
        <w:t>（1）符合专业条件的供应商或者对招标文件作实质响应的供应商不足三家的；</w:t>
      </w:r>
    </w:p>
    <w:p>
      <w:pPr>
        <w:pStyle w:val="9"/>
        <w:spacing w:line="440" w:lineRule="exact"/>
        <w:ind w:firstLine="826" w:firstLineChars="392"/>
        <w:rPr>
          <w:rFonts w:hAnsi="宋体"/>
          <w:b/>
        </w:rPr>
      </w:pPr>
      <w:r>
        <w:rPr>
          <w:rFonts w:hint="eastAsia" w:hAnsi="宋体"/>
          <w:b/>
        </w:rPr>
        <w:t>供应商家数计算规则：</w:t>
      </w:r>
    </w:p>
    <w:p>
      <w:pPr>
        <w:pStyle w:val="9"/>
        <w:spacing w:line="440" w:lineRule="exact"/>
        <w:ind w:firstLine="420" w:firstLineChars="200"/>
        <w:jc w:val="left"/>
        <w:rPr>
          <w:rFonts w:hAnsi="宋体"/>
        </w:rPr>
      </w:pPr>
      <w:r>
        <w:rPr>
          <w:rFonts w:hint="eastAsia" w:hAnsi="宋体"/>
        </w:rPr>
        <w:t>①采用最低评标价法的采购项目，提供相同品牌产品的不同投标人参加同一合同项下投标的，以其中通过资格审查、符合性审查且报价最低的参加评标；报价相同的，由评标委员会采取随机抽取的方式确定一个参加评标的投标人，其他投标无效。</w:t>
      </w:r>
    </w:p>
    <w:p>
      <w:pPr>
        <w:pStyle w:val="9"/>
        <w:spacing w:line="440" w:lineRule="exact"/>
        <w:ind w:firstLine="420" w:firstLineChars="200"/>
        <w:jc w:val="left"/>
        <w:rPr>
          <w:rFonts w:hAnsi="宋体"/>
        </w:rPr>
      </w:pPr>
      <w:r>
        <w:rPr>
          <w:rFonts w:hint="eastAsia" w:hAnsi="宋体"/>
        </w:rPr>
        <w:t>②使用综合评分法的采购项目，提供相同品牌产品且通过资格审查、符合性审查的不同投标人参加同一合同项下投标的，按一家投标人计算，评审后得分最高的同品牌投标人获得中标单位推荐资格；评审得分相同的，由评标委员会采取随机抽取的方式确定一个投标人获得中标单位推荐资格，其他同品牌投标人不作为中标候选人。</w:t>
      </w:r>
    </w:p>
    <w:p>
      <w:pPr>
        <w:widowControl/>
        <w:spacing w:line="360" w:lineRule="atLeast"/>
        <w:ind w:firstLine="420" w:firstLineChars="200"/>
        <w:jc w:val="left"/>
        <w:rPr>
          <w:rFonts w:ascii="宋体" w:hAnsi="宋体"/>
          <w:szCs w:val="20"/>
        </w:rPr>
      </w:pPr>
      <w:r>
        <w:rPr>
          <w:rFonts w:hint="eastAsia" w:ascii="宋体" w:hAnsi="宋体"/>
          <w:szCs w:val="20"/>
        </w:rPr>
        <w:t>③非单一产品采购项目，采购人应当根据采购项目技术构成、产品价格比重等合理确定核心产品，并在招标文件中载明。多家投标人提供的核心产品品牌相同的，按上述规定处理。</w:t>
      </w:r>
    </w:p>
    <w:p>
      <w:pPr>
        <w:pStyle w:val="9"/>
        <w:spacing w:line="440" w:lineRule="exact"/>
        <w:ind w:firstLine="720"/>
        <w:rPr>
          <w:rFonts w:hAnsi="宋体"/>
          <w:bCs/>
          <w:sz w:val="24"/>
        </w:rPr>
      </w:pPr>
      <w:r>
        <w:rPr>
          <w:rFonts w:hint="eastAsia" w:hAnsi="宋体"/>
        </w:rPr>
        <w:t>（2）出现影响采购公正的违法、违规行为的；</w:t>
      </w:r>
    </w:p>
    <w:p>
      <w:pPr>
        <w:pStyle w:val="9"/>
        <w:spacing w:line="440" w:lineRule="exact"/>
        <w:ind w:firstLine="720"/>
        <w:rPr>
          <w:rFonts w:hAnsi="宋体"/>
        </w:rPr>
      </w:pPr>
      <w:r>
        <w:rPr>
          <w:rFonts w:hint="eastAsia" w:hAnsi="宋体"/>
        </w:rPr>
        <w:t>（3）投标人的报价均超过了采购预算，采购人不能支付的；</w:t>
      </w:r>
    </w:p>
    <w:p>
      <w:pPr>
        <w:pStyle w:val="9"/>
        <w:spacing w:line="440" w:lineRule="exact"/>
        <w:ind w:firstLine="720"/>
        <w:rPr>
          <w:rFonts w:hAnsi="宋体"/>
        </w:rPr>
      </w:pPr>
      <w:r>
        <w:rPr>
          <w:rFonts w:hint="eastAsia" w:hAnsi="宋体"/>
        </w:rPr>
        <w:t>（4）因重大变故，采购任务取消的。</w:t>
      </w:r>
    </w:p>
    <w:p>
      <w:pPr>
        <w:pStyle w:val="9"/>
        <w:spacing w:line="440" w:lineRule="exact"/>
        <w:ind w:firstLine="411" w:firstLineChars="196"/>
        <w:rPr>
          <w:rFonts w:hAnsi="宋体"/>
        </w:rPr>
      </w:pPr>
      <w:r>
        <w:rPr>
          <w:rFonts w:hint="eastAsia" w:hAnsi="宋体"/>
        </w:rPr>
        <w:t>21.2  废标后，采购人将在本章第2.1项规定的采购信息发布媒体上公告废标理由，不再另行通知。</w:t>
      </w:r>
    </w:p>
    <w:p>
      <w:pPr>
        <w:pStyle w:val="9"/>
        <w:spacing w:line="440" w:lineRule="exact"/>
        <w:jc w:val="center"/>
        <w:rPr>
          <w:rFonts w:hAnsi="宋体"/>
          <w:b/>
          <w:bCs/>
        </w:rPr>
      </w:pPr>
    </w:p>
    <w:p>
      <w:pPr>
        <w:pStyle w:val="9"/>
        <w:jc w:val="center"/>
        <w:outlineLvl w:val="1"/>
        <w:rPr>
          <w:rFonts w:ascii="Times New Roman" w:hAnsi="Times New Roman"/>
          <w:b/>
          <w:sz w:val="30"/>
          <w:szCs w:val="30"/>
        </w:rPr>
      </w:pPr>
      <w:bookmarkStart w:id="19" w:name="_Toc503169373"/>
    </w:p>
    <w:p>
      <w:pPr>
        <w:pStyle w:val="9"/>
        <w:jc w:val="center"/>
        <w:outlineLvl w:val="1"/>
        <w:rPr>
          <w:rFonts w:ascii="Times New Roman" w:hAnsi="Times New Roman"/>
          <w:b/>
          <w:sz w:val="30"/>
          <w:szCs w:val="30"/>
        </w:rPr>
      </w:pPr>
      <w:r>
        <w:rPr>
          <w:rFonts w:hint="eastAsia" w:ascii="Times New Roman" w:hAnsi="Times New Roman"/>
          <w:b/>
          <w:sz w:val="30"/>
          <w:szCs w:val="30"/>
        </w:rPr>
        <w:t>六合同授予</w:t>
      </w:r>
      <w:bookmarkEnd w:id="19"/>
    </w:p>
    <w:p>
      <w:pPr>
        <w:pStyle w:val="9"/>
        <w:spacing w:line="440" w:lineRule="exact"/>
        <w:rPr>
          <w:rFonts w:hAnsi="宋体"/>
          <w:bCs/>
          <w:sz w:val="24"/>
        </w:rPr>
      </w:pPr>
      <w:r>
        <w:rPr>
          <w:rFonts w:hint="eastAsia" w:hAnsi="宋体"/>
          <w:bCs/>
          <w:sz w:val="24"/>
        </w:rPr>
        <w:t>22.  中标单位的确定</w:t>
      </w:r>
    </w:p>
    <w:p>
      <w:pPr>
        <w:spacing w:line="440" w:lineRule="exact"/>
        <w:ind w:firstLine="420"/>
        <w:rPr>
          <w:rFonts w:ascii="宋体" w:hAnsi="宋体"/>
          <w:szCs w:val="20"/>
        </w:rPr>
      </w:pPr>
      <w:r>
        <w:rPr>
          <w:rFonts w:hint="eastAsia" w:ascii="宋体" w:hAnsi="宋体"/>
          <w:szCs w:val="20"/>
        </w:rPr>
        <w:t>22.1  评标委员会按第三章“评标方法”的规定</w:t>
      </w:r>
      <w:r>
        <w:rPr>
          <w:rFonts w:hint="eastAsia"/>
        </w:rPr>
        <w:t>排列中标候选供应商顺序，并依照</w:t>
      </w:r>
      <w:r>
        <w:rPr>
          <w:rFonts w:hint="eastAsia" w:hAnsi="宋体"/>
        </w:rPr>
        <w:t>次序确定中标单位</w:t>
      </w:r>
      <w:r>
        <w:rPr>
          <w:rFonts w:hint="eastAsia"/>
        </w:rPr>
        <w:t>。</w:t>
      </w:r>
    </w:p>
    <w:p>
      <w:pPr>
        <w:pStyle w:val="9"/>
        <w:spacing w:line="440" w:lineRule="exact"/>
        <w:rPr>
          <w:rFonts w:hAnsi="宋体"/>
          <w:bCs/>
          <w:sz w:val="24"/>
        </w:rPr>
      </w:pPr>
      <w:r>
        <w:rPr>
          <w:rFonts w:hint="eastAsia" w:hAnsi="宋体"/>
          <w:bCs/>
          <w:sz w:val="24"/>
        </w:rPr>
        <w:t>23.  中标通知书</w:t>
      </w:r>
    </w:p>
    <w:p>
      <w:pPr>
        <w:pStyle w:val="9"/>
        <w:spacing w:line="440" w:lineRule="exact"/>
        <w:ind w:firstLine="360"/>
        <w:rPr>
          <w:rFonts w:hAnsi="宋体" w:cs="宋体"/>
        </w:rPr>
      </w:pPr>
      <w:r>
        <w:rPr>
          <w:rFonts w:hint="eastAsia" w:hAnsi="宋体"/>
        </w:rPr>
        <w:t xml:space="preserve">23.1  </w:t>
      </w:r>
      <w:r>
        <w:rPr>
          <w:rFonts w:hint="eastAsia" w:cs="宋体"/>
          <w:kern w:val="0"/>
          <w:szCs w:val="21"/>
        </w:rPr>
        <w:t>评标结束后，</w:t>
      </w:r>
      <w:r>
        <w:rPr>
          <w:rFonts w:hint="eastAsia" w:hAnsi="宋体" w:cs="宋体"/>
        </w:rPr>
        <w:t>在中标单位</w:t>
      </w:r>
      <w:r>
        <w:rPr>
          <w:rFonts w:hint="eastAsia" w:hAnsi="宋体" w:cs="Arial"/>
        </w:rPr>
        <w:t>确定之日起</w:t>
      </w:r>
      <w:r>
        <w:rPr>
          <w:rFonts w:hAnsi="宋体" w:cs="宋体"/>
        </w:rPr>
        <w:t>3</w:t>
      </w:r>
      <w:r>
        <w:rPr>
          <w:rFonts w:hint="eastAsia" w:hAnsi="宋体" w:cs="宋体"/>
        </w:rPr>
        <w:t>个工作日内，由采购人在本章第2.1项规定的采购信息发布媒体上发布中标结果公告，中标结果公告期限为1个工作日，发布中标结果公告的同时向中标单位发出中标通知书。</w:t>
      </w:r>
    </w:p>
    <w:p>
      <w:pPr>
        <w:pStyle w:val="9"/>
        <w:spacing w:line="440" w:lineRule="exact"/>
        <w:ind w:firstLine="360"/>
        <w:rPr>
          <w:rFonts w:cs="宋体"/>
          <w:kern w:val="0"/>
          <w:szCs w:val="21"/>
        </w:rPr>
      </w:pPr>
      <w:r>
        <w:rPr>
          <w:rFonts w:hint="eastAsia" w:cs="宋体"/>
          <w:kern w:val="0"/>
          <w:szCs w:val="21"/>
        </w:rPr>
        <w:t>23.2  中标通知书对采购人和中标单位具有同等法律效力。中标通知书发出后，采购人改变中标结果，或者中标单位放弃中标，应当承担相应的法律责任。</w:t>
      </w:r>
    </w:p>
    <w:p>
      <w:pPr>
        <w:pStyle w:val="9"/>
        <w:spacing w:line="440" w:lineRule="exact"/>
        <w:rPr>
          <w:rFonts w:hAnsi="宋体"/>
          <w:bCs/>
          <w:sz w:val="24"/>
        </w:rPr>
      </w:pPr>
      <w:r>
        <w:rPr>
          <w:rFonts w:hint="eastAsia" w:hAnsi="宋体"/>
          <w:bCs/>
          <w:sz w:val="24"/>
        </w:rPr>
        <w:t>24.  投标文件及投标样品的退回</w:t>
      </w:r>
    </w:p>
    <w:p>
      <w:pPr>
        <w:pStyle w:val="9"/>
        <w:spacing w:line="440" w:lineRule="exact"/>
        <w:ind w:firstLine="360"/>
        <w:rPr>
          <w:rFonts w:hAnsi="宋体"/>
        </w:rPr>
      </w:pPr>
      <w:r>
        <w:rPr>
          <w:rFonts w:hint="eastAsia" w:hAnsi="宋体"/>
        </w:rPr>
        <w:t>24.1  采购人无义务向未中标单位解释其未中标原因和退回投标文件。</w:t>
      </w:r>
    </w:p>
    <w:p>
      <w:pPr>
        <w:pStyle w:val="9"/>
        <w:spacing w:line="440" w:lineRule="exact"/>
        <w:ind w:firstLine="360"/>
        <w:rPr>
          <w:rFonts w:hAnsi="宋体"/>
        </w:rPr>
      </w:pPr>
      <w:r>
        <w:rPr>
          <w:rFonts w:hint="eastAsia" w:hAnsi="宋体"/>
        </w:rPr>
        <w:t>24.2  中标单位的投标样品由采购人进行保管、封存，并作为履约验收的参考，验收后由采购人退回。未中标单位的投标样品由供应商在中标结果公布后2个工作日内领回，否则按无主物品处理。</w:t>
      </w:r>
    </w:p>
    <w:p>
      <w:pPr>
        <w:pStyle w:val="9"/>
        <w:tabs>
          <w:tab w:val="left" w:pos="630"/>
        </w:tabs>
        <w:spacing w:line="440" w:lineRule="exact"/>
        <w:rPr>
          <w:rFonts w:hAnsi="宋体"/>
          <w:bCs/>
          <w:sz w:val="24"/>
        </w:rPr>
      </w:pPr>
      <w:r>
        <w:rPr>
          <w:rFonts w:hint="eastAsia" w:hAnsi="宋体"/>
          <w:bCs/>
          <w:sz w:val="24"/>
        </w:rPr>
        <w:t>25.  签订合同</w:t>
      </w:r>
    </w:p>
    <w:p>
      <w:pPr>
        <w:pStyle w:val="9"/>
        <w:spacing w:line="440" w:lineRule="exact"/>
        <w:ind w:firstLine="420" w:firstLineChars="200"/>
        <w:rPr>
          <w:rFonts w:hAnsi="宋体"/>
        </w:rPr>
      </w:pPr>
      <w:r>
        <w:rPr>
          <w:rFonts w:hint="eastAsia" w:hAnsi="宋体"/>
        </w:rPr>
        <w:t>25.1  采购人和中标单位应当在第二章“货物需求一览表”中商务条款要求载明的合同签订期内，根据招标文件、中标单位的投标文件及有关澄清承诺书的要求按第五章“合同条款及格式”订立书面合同。联合体投标的，联合体各方应当共同与采购人签订采购合同，</w:t>
      </w:r>
      <w:r>
        <w:rPr>
          <w:rFonts w:hint="eastAsia" w:hAnsi="宋体"/>
          <w:bCs/>
        </w:rPr>
        <w:t>均应在合同的签章处签章，</w:t>
      </w:r>
      <w:r>
        <w:rPr>
          <w:rFonts w:hint="eastAsia" w:hAnsi="宋体"/>
        </w:rPr>
        <w:t>就采购合同约定的事项对采购人承担连带责任。</w:t>
      </w:r>
    </w:p>
    <w:p>
      <w:pPr>
        <w:pStyle w:val="9"/>
        <w:spacing w:line="440" w:lineRule="exact"/>
        <w:ind w:firstLine="420"/>
        <w:rPr>
          <w:rFonts w:cs="宋体"/>
          <w:kern w:val="0"/>
          <w:szCs w:val="28"/>
        </w:rPr>
      </w:pPr>
      <w:r>
        <w:rPr>
          <w:rFonts w:hint="eastAsia" w:cs="宋体"/>
          <w:kern w:val="0"/>
          <w:szCs w:val="28"/>
        </w:rPr>
        <w:t>25.2本次采购合同签订应当采用本次采购合同格式文本，合同应内容完整、盖章齐全；项目合同的各要素和内容应与招标文件、中标单位的承诺、中标通知书等的内容一致；合同附件齐全；多页合同每页应顺序标出页码并盖骑缝章。</w:t>
      </w:r>
    </w:p>
    <w:p>
      <w:pPr>
        <w:pStyle w:val="9"/>
        <w:spacing w:line="440" w:lineRule="exact"/>
        <w:ind w:firstLine="360"/>
        <w:rPr>
          <w:rFonts w:hAnsi="宋体"/>
        </w:rPr>
      </w:pPr>
      <w:r>
        <w:rPr>
          <w:rFonts w:hint="eastAsia" w:cs="宋体"/>
          <w:kern w:val="0"/>
          <w:szCs w:val="28"/>
        </w:rPr>
        <w:t>25.3</w:t>
      </w:r>
      <w:r>
        <w:rPr>
          <w:rFonts w:hint="eastAsia" w:hAnsi="宋体"/>
        </w:rPr>
        <w:t>中标通知书发出后，中标单位有本章第13.5项第（3）至（6）项情形之一的，中标无效，采购人不予退还其交纳的投标保证金，采购人可追究中标单位</w:t>
      </w:r>
      <w:r>
        <w:rPr>
          <w:rFonts w:hint="eastAsia" w:cs="宋体"/>
          <w:kern w:val="0"/>
          <w:szCs w:val="21"/>
        </w:rPr>
        <w:t>承担相应的法律责任</w:t>
      </w:r>
      <w:r>
        <w:rPr>
          <w:rFonts w:hint="eastAsia" w:hAnsi="宋体"/>
        </w:rPr>
        <w:t>。</w:t>
      </w:r>
    </w:p>
    <w:p>
      <w:pPr>
        <w:pStyle w:val="9"/>
        <w:spacing w:line="440" w:lineRule="exact"/>
        <w:ind w:firstLine="360"/>
        <w:rPr>
          <w:rFonts w:hAnsi="宋体"/>
        </w:rPr>
      </w:pPr>
      <w:r>
        <w:rPr>
          <w:rFonts w:hint="eastAsia" w:hAnsi="宋体"/>
        </w:rPr>
        <w:t>如采购人无正当理由拒签合同的，采购人向中标单位退还投标保证金；采购人给中标单位造成损失的，中标单位可追究采购人承担相应的法律责任。</w:t>
      </w:r>
    </w:p>
    <w:p>
      <w:pPr>
        <w:pStyle w:val="9"/>
        <w:spacing w:line="440" w:lineRule="exact"/>
        <w:ind w:firstLine="360"/>
        <w:rPr>
          <w:rFonts w:hAnsi="宋体"/>
        </w:rPr>
      </w:pPr>
      <w:r>
        <w:rPr>
          <w:rFonts w:hint="eastAsia" w:hAnsi="宋体"/>
        </w:rPr>
        <w:t>25.</w:t>
      </w:r>
      <w:r>
        <w:rPr>
          <w:rFonts w:hAnsi="宋体"/>
        </w:rPr>
        <w:t>4</w:t>
      </w:r>
      <w:r>
        <w:rPr>
          <w:rFonts w:hint="eastAsia" w:hAnsi="宋体"/>
          <w:szCs w:val="28"/>
        </w:rPr>
        <w:t>采购人在签订合同之前有权要求中标单位提供本项目必需的相关资料原件进行核查，中标单位不得拒绝。如中标单位拒绝提供，则自行承担由此产生的后果。</w:t>
      </w:r>
    </w:p>
    <w:p>
      <w:pPr>
        <w:pStyle w:val="9"/>
        <w:spacing w:line="440" w:lineRule="exact"/>
        <w:ind w:firstLine="360"/>
        <w:rPr>
          <w:rFonts w:hAnsi="宋体"/>
        </w:rPr>
      </w:pPr>
      <w:r>
        <w:rPr>
          <w:rFonts w:hint="eastAsia" w:hAnsi="宋体"/>
        </w:rPr>
        <w:t>25.</w:t>
      </w:r>
      <w:r>
        <w:rPr>
          <w:rFonts w:hAnsi="宋体"/>
        </w:rPr>
        <w:t>5</w:t>
      </w:r>
      <w:r>
        <w:rPr>
          <w:rFonts w:hint="eastAsia" w:hAnsi="宋体"/>
        </w:rPr>
        <w:t xml:space="preserve">  中标单位因不可抗力或者自身原因不能履行本次采购合同的，如仍在投标有效期内采购人可以与排位在中标单位之后第一位的中标候选供应商签订本次采购合同，以此类推。</w:t>
      </w:r>
    </w:p>
    <w:p>
      <w:pPr>
        <w:pStyle w:val="9"/>
        <w:spacing w:line="440" w:lineRule="exact"/>
        <w:ind w:firstLine="420"/>
        <w:rPr>
          <w:rFonts w:cs="宋体"/>
          <w:kern w:val="0"/>
          <w:szCs w:val="28"/>
        </w:rPr>
      </w:pPr>
      <w:r>
        <w:rPr>
          <w:rFonts w:hint="eastAsia" w:cs="宋体"/>
          <w:kern w:val="0"/>
          <w:szCs w:val="28"/>
        </w:rPr>
        <w:t>25.</w:t>
      </w:r>
      <w:r>
        <w:rPr>
          <w:rFonts w:cs="宋体"/>
          <w:kern w:val="0"/>
          <w:szCs w:val="28"/>
        </w:rPr>
        <w:t>6</w:t>
      </w:r>
      <w:r>
        <w:rPr>
          <w:rFonts w:hint="eastAsia" w:cs="宋体"/>
          <w:kern w:val="0"/>
          <w:szCs w:val="28"/>
        </w:rPr>
        <w:t>　采购人或中标单位不得单方面向合同另一方提出任何招标文件没有约定的条件或不合理的要求，作为签订合同的条件，也不得协商另行订立背离招标文件和合同实质性内容的协议。</w:t>
      </w:r>
    </w:p>
    <w:p>
      <w:pPr>
        <w:pStyle w:val="9"/>
        <w:spacing w:line="440" w:lineRule="exact"/>
        <w:ind w:firstLine="420"/>
        <w:rPr>
          <w:rFonts w:cs="宋体"/>
          <w:kern w:val="0"/>
          <w:szCs w:val="28"/>
        </w:rPr>
      </w:pPr>
      <w:r>
        <w:rPr>
          <w:rFonts w:hint="eastAsia" w:cs="宋体"/>
          <w:kern w:val="0"/>
          <w:szCs w:val="28"/>
        </w:rPr>
        <w:t>25.</w:t>
      </w:r>
      <w:r>
        <w:rPr>
          <w:rFonts w:cs="宋体"/>
          <w:kern w:val="0"/>
          <w:szCs w:val="28"/>
        </w:rPr>
        <w:t>7</w:t>
      </w:r>
      <w:r>
        <w:rPr>
          <w:rFonts w:hint="eastAsia" w:cs="宋体"/>
          <w:kern w:val="0"/>
          <w:szCs w:val="28"/>
        </w:rPr>
        <w:t>　采购人需追加与合同标的相同的货物或者服务的，在不改变原合同条款且已报南宁交通投资集团有限责任公司相关部门批准落实资金的前提下，可从原中标单位处添购，所签订的补充添置合同的采购资金总额不超过原采购合同金额的10%。</w:t>
      </w:r>
    </w:p>
    <w:p>
      <w:pPr>
        <w:pStyle w:val="9"/>
        <w:spacing w:line="440" w:lineRule="exact"/>
        <w:ind w:firstLine="420"/>
        <w:rPr>
          <w:rFonts w:cs="宋体"/>
          <w:kern w:val="0"/>
          <w:szCs w:val="28"/>
        </w:rPr>
      </w:pPr>
      <w:r>
        <w:rPr>
          <w:rFonts w:hint="eastAsia" w:cs="宋体"/>
          <w:kern w:val="0"/>
          <w:szCs w:val="28"/>
        </w:rPr>
        <w:t>25.</w:t>
      </w:r>
      <w:r>
        <w:rPr>
          <w:rFonts w:cs="宋体"/>
          <w:kern w:val="0"/>
          <w:szCs w:val="28"/>
        </w:rPr>
        <w:t>8</w:t>
      </w:r>
      <w:r>
        <w:rPr>
          <w:rFonts w:hint="eastAsia" w:cs="宋体"/>
          <w:kern w:val="0"/>
          <w:szCs w:val="28"/>
        </w:rPr>
        <w:t>　本次采购合同是本次采购项目验收的依据，中标单位和采购人应当按照采购合同约定的各自的权利和义务全面履行合同。任何一方当事人在履行合同过程中均不得擅自变更、中止或终止合同。本次采购合同继续履行将损害国家利益和社会公共利益的，双方当事人应当变更、中止或终止合同。有过错的一方应当承担赔偿责任，双方都有过错的，各自承担相应的责任。</w:t>
      </w:r>
    </w:p>
    <w:p>
      <w:pPr>
        <w:pStyle w:val="9"/>
        <w:spacing w:line="440" w:lineRule="exact"/>
        <w:rPr>
          <w:rFonts w:hAnsi="宋体" w:cs="Times New Roman"/>
          <w:bCs/>
          <w:sz w:val="24"/>
          <w:szCs w:val="20"/>
        </w:rPr>
      </w:pPr>
      <w:r>
        <w:rPr>
          <w:rFonts w:hint="eastAsia" w:hAnsi="宋体"/>
          <w:bCs/>
          <w:sz w:val="24"/>
        </w:rPr>
        <w:t>26.  履约保证金及质量保证金</w:t>
      </w:r>
    </w:p>
    <w:p>
      <w:pPr>
        <w:pStyle w:val="9"/>
        <w:spacing w:line="440" w:lineRule="exact"/>
        <w:ind w:firstLine="360"/>
        <w:rPr>
          <w:rFonts w:hAnsi="宋体"/>
          <w:szCs w:val="28"/>
        </w:rPr>
      </w:pPr>
      <w:r>
        <w:rPr>
          <w:rFonts w:hint="eastAsia" w:hAnsi="宋体"/>
          <w:szCs w:val="28"/>
        </w:rPr>
        <w:t>26.1  中标单位应</w:t>
      </w:r>
      <w:r>
        <w:rPr>
          <w:rFonts w:hint="eastAsia"/>
          <w:szCs w:val="21"/>
        </w:rPr>
        <w:t>在签订本次采购合同前</w:t>
      </w:r>
      <w:r>
        <w:rPr>
          <w:rFonts w:hint="eastAsia" w:hAnsi="宋体"/>
          <w:szCs w:val="28"/>
        </w:rPr>
        <w:t>按投标人须知前附表规定的履约保证金的金额、方式和账户交纳履约保证金。</w:t>
      </w:r>
    </w:p>
    <w:p>
      <w:pPr>
        <w:pStyle w:val="9"/>
        <w:spacing w:line="440" w:lineRule="exact"/>
        <w:ind w:firstLine="360"/>
        <w:rPr>
          <w:rFonts w:hAnsi="宋体"/>
          <w:szCs w:val="28"/>
        </w:rPr>
      </w:pPr>
      <w:r>
        <w:rPr>
          <w:rFonts w:hint="eastAsia" w:hAnsi="宋体"/>
          <w:szCs w:val="28"/>
        </w:rPr>
        <w:t>26.2  履约保证金自中标单位按合同约定交货验收合格之日起转为质量保证金。在质保期内中标单位提供的货物质量和服务符合合同约定，经</w:t>
      </w:r>
      <w:r>
        <w:rPr>
          <w:rFonts w:hint="eastAsia" w:hAnsi="宋体"/>
          <w:szCs w:val="28"/>
          <w:u w:val="single"/>
        </w:rPr>
        <w:t>最终</w:t>
      </w:r>
      <w:r>
        <w:rPr>
          <w:rFonts w:hint="eastAsia" w:hAnsi="宋体"/>
          <w:szCs w:val="28"/>
        </w:rPr>
        <w:t>验收合格，质保期满后中标单位向采购单位提出退付申请，采购单位在核对相关材料后5个工作日内以转账方式无息退还。</w:t>
      </w:r>
    </w:p>
    <w:p>
      <w:pPr>
        <w:pStyle w:val="9"/>
        <w:spacing w:after="165" w:line="440" w:lineRule="exact"/>
        <w:ind w:left="2" w:firstLine="422" w:firstLineChars="201"/>
        <w:rPr>
          <w:rFonts w:hAnsi="宋体"/>
          <w:szCs w:val="20"/>
        </w:rPr>
      </w:pPr>
      <w:r>
        <w:rPr>
          <w:rFonts w:hint="eastAsia" w:hAnsi="宋体"/>
        </w:rPr>
        <w:t>26.3</w:t>
      </w:r>
      <w:r>
        <w:rPr>
          <w:rFonts w:hint="eastAsia" w:hAnsi="宋体"/>
          <w:b/>
          <w:szCs w:val="21"/>
        </w:rPr>
        <w:t>履约保证金必须从投标人注册登记的企业账户汇到指定的履约保证金专用账户。</w:t>
      </w:r>
    </w:p>
    <w:p>
      <w:pPr>
        <w:pStyle w:val="9"/>
        <w:spacing w:line="440" w:lineRule="exact"/>
        <w:ind w:firstLine="360"/>
        <w:rPr>
          <w:rFonts w:hAnsi="宋体"/>
          <w:szCs w:val="28"/>
        </w:rPr>
      </w:pPr>
    </w:p>
    <w:p>
      <w:pPr>
        <w:pStyle w:val="9"/>
        <w:spacing w:line="440" w:lineRule="exact"/>
        <w:ind w:firstLine="360"/>
        <w:rPr>
          <w:rFonts w:hAnsi="宋体"/>
          <w:szCs w:val="28"/>
        </w:rPr>
      </w:pPr>
    </w:p>
    <w:p>
      <w:pPr>
        <w:pStyle w:val="9"/>
        <w:spacing w:line="440" w:lineRule="exact"/>
        <w:jc w:val="center"/>
        <w:rPr>
          <w:rFonts w:hAnsi="宋体"/>
        </w:rPr>
      </w:pPr>
    </w:p>
    <w:p>
      <w:pPr>
        <w:rPr>
          <w:rFonts w:ascii="Times New Roman" w:hAnsi="Times New Roman"/>
          <w:b/>
          <w:sz w:val="30"/>
          <w:szCs w:val="30"/>
        </w:rPr>
      </w:pPr>
      <w:bookmarkStart w:id="20" w:name="_Toc503169374"/>
      <w:r>
        <w:rPr>
          <w:rFonts w:hint="eastAsia" w:ascii="Times New Roman" w:hAnsi="Times New Roman"/>
          <w:b/>
          <w:sz w:val="30"/>
          <w:szCs w:val="30"/>
        </w:rPr>
        <w:br w:type="page"/>
      </w:r>
    </w:p>
    <w:p>
      <w:pPr>
        <w:pStyle w:val="9"/>
        <w:jc w:val="center"/>
        <w:outlineLvl w:val="1"/>
        <w:rPr>
          <w:rFonts w:ascii="Times New Roman" w:hAnsi="Times New Roman"/>
          <w:b/>
          <w:sz w:val="30"/>
          <w:szCs w:val="30"/>
        </w:rPr>
      </w:pPr>
      <w:r>
        <w:rPr>
          <w:rFonts w:hint="eastAsia" w:ascii="Times New Roman" w:hAnsi="Times New Roman"/>
          <w:b/>
          <w:sz w:val="30"/>
          <w:szCs w:val="30"/>
        </w:rPr>
        <w:t>七其他事项</w:t>
      </w:r>
      <w:bookmarkEnd w:id="20"/>
    </w:p>
    <w:p>
      <w:pPr>
        <w:pStyle w:val="9"/>
        <w:spacing w:line="440" w:lineRule="exact"/>
        <w:rPr>
          <w:rFonts w:hAnsi="宋体"/>
          <w:bCs/>
          <w:sz w:val="24"/>
        </w:rPr>
      </w:pPr>
      <w:r>
        <w:rPr>
          <w:rFonts w:hint="eastAsia" w:hAnsi="宋体"/>
          <w:bCs/>
          <w:sz w:val="24"/>
        </w:rPr>
        <w:t>27.  解释权</w:t>
      </w:r>
    </w:p>
    <w:p>
      <w:pPr>
        <w:pStyle w:val="9"/>
        <w:spacing w:line="440" w:lineRule="exact"/>
        <w:ind w:firstLine="360"/>
        <w:jc w:val="left"/>
        <w:rPr>
          <w:rFonts w:hAnsi="宋体"/>
        </w:rPr>
      </w:pPr>
      <w:r>
        <w:rPr>
          <w:rFonts w:hint="eastAsia" w:hAnsi="宋体"/>
        </w:rPr>
        <w:t>27.1  本招标文件根据《中华人民共和国政府采购法》、《政府采购货物和服务招标投标管理办法》及相关法律法规编制，解释权属采购人。</w:t>
      </w:r>
    </w:p>
    <w:p>
      <w:pPr>
        <w:pStyle w:val="9"/>
        <w:spacing w:line="440" w:lineRule="exact"/>
        <w:jc w:val="left"/>
        <w:rPr>
          <w:rFonts w:hAnsi="宋体"/>
          <w:sz w:val="24"/>
        </w:rPr>
      </w:pPr>
      <w:r>
        <w:rPr>
          <w:rFonts w:hint="eastAsia" w:hAnsi="宋体"/>
          <w:sz w:val="24"/>
        </w:rPr>
        <w:t>28.  需要补充的其他内容</w:t>
      </w:r>
    </w:p>
    <w:p>
      <w:pPr>
        <w:pStyle w:val="9"/>
        <w:spacing w:line="440" w:lineRule="exact"/>
        <w:ind w:firstLine="360"/>
        <w:jc w:val="left"/>
        <w:rPr>
          <w:rFonts w:hAnsi="宋体"/>
        </w:rPr>
      </w:pPr>
      <w:r>
        <w:rPr>
          <w:rFonts w:hint="eastAsia" w:hAnsi="宋体"/>
        </w:rPr>
        <w:t>28.1  需要补充的其他内容：见投标人须知前附表。</w:t>
      </w:r>
    </w:p>
    <w:p>
      <w:pPr>
        <w:pStyle w:val="9"/>
        <w:jc w:val="center"/>
        <w:outlineLvl w:val="0"/>
        <w:rPr>
          <w:rFonts w:hAnsi="宋体"/>
        </w:rPr>
      </w:pPr>
      <w:r>
        <w:rPr>
          <w:rFonts w:hint="eastAsia" w:hAnsi="宋体"/>
        </w:rPr>
        <w:br w:type="page"/>
      </w:r>
      <w:bookmarkStart w:id="21" w:name="_Toc503169375"/>
      <w:r>
        <w:rPr>
          <w:rFonts w:hint="eastAsia" w:ascii="Times New Roman" w:hAnsi="Times New Roman"/>
          <w:b/>
          <w:sz w:val="36"/>
        </w:rPr>
        <w:t>第五章投标文件格式</w:t>
      </w:r>
      <w:bookmarkEnd w:id="21"/>
    </w:p>
    <w:p>
      <w:pPr>
        <w:pStyle w:val="9"/>
        <w:jc w:val="center"/>
        <w:rPr>
          <w:rFonts w:ascii="Times New Roman" w:hAnsi="Times New Roman"/>
          <w:b/>
          <w:bCs/>
          <w:sz w:val="30"/>
          <w:szCs w:val="30"/>
        </w:rPr>
      </w:pPr>
      <w:r>
        <w:rPr>
          <w:rFonts w:hint="eastAsia" w:ascii="Times New Roman" w:hAnsi="Times New Roman"/>
          <w:b/>
          <w:bCs/>
          <w:sz w:val="30"/>
          <w:szCs w:val="30"/>
        </w:rPr>
        <w:t>投标函（格式）</w:t>
      </w:r>
    </w:p>
    <w:p>
      <w:pPr>
        <w:pStyle w:val="9"/>
        <w:rPr>
          <w:rFonts w:ascii="Times New Roman" w:hAnsi="Times New Roman"/>
          <w:sz w:val="32"/>
        </w:rPr>
      </w:pPr>
    </w:p>
    <w:p>
      <w:pPr>
        <w:pStyle w:val="9"/>
        <w:ind w:firstLine="435"/>
        <w:rPr>
          <w:rFonts w:ascii="Times New Roman" w:hAnsi="Times New Roman"/>
        </w:rPr>
      </w:pPr>
      <w:r>
        <w:rPr>
          <w:rFonts w:hint="eastAsia" w:ascii="Times New Roman" w:hAnsi="Times New Roman"/>
        </w:rPr>
        <w:t>致：</w:t>
      </w:r>
      <w:r>
        <w:rPr>
          <w:rFonts w:hint="eastAsia"/>
        </w:rPr>
        <w:t>（采购人名称）</w:t>
      </w:r>
    </w:p>
    <w:p>
      <w:pPr>
        <w:pStyle w:val="9"/>
        <w:ind w:firstLine="435"/>
        <w:rPr>
          <w:rFonts w:ascii="Times New Roman" w:hAnsi="Times New Roman"/>
        </w:rPr>
      </w:pPr>
    </w:p>
    <w:p>
      <w:pPr>
        <w:pStyle w:val="9"/>
        <w:ind w:firstLine="482"/>
      </w:pPr>
      <w:r>
        <w:rPr>
          <w:rFonts w:hint="eastAsia"/>
        </w:rPr>
        <w:t>我方已仔细阅读了贵方组织的</w:t>
      </w:r>
      <w:r>
        <w:rPr>
          <w:rFonts w:hint="eastAsia"/>
          <w:u w:val="single"/>
        </w:rPr>
        <w:t xml:space="preserve">        （项目名称）       </w:t>
      </w:r>
      <w:r>
        <w:rPr>
          <w:rFonts w:hint="eastAsia"/>
        </w:rPr>
        <w:t xml:space="preserve">项目（项目编号：        ）的招标文件的全部内容，现正式递交下述文件参加贵方组织的本次采购活动： </w:t>
      </w:r>
    </w:p>
    <w:p>
      <w:pPr>
        <w:pStyle w:val="9"/>
        <w:ind w:firstLine="482"/>
      </w:pPr>
      <w:r>
        <w:rPr>
          <w:rFonts w:hint="eastAsia"/>
        </w:rPr>
        <w:t>一、报价文件正本一份，副本份（包含按投标人须知第10.1.1项要求提交的全部文件）；</w:t>
      </w:r>
    </w:p>
    <w:p>
      <w:pPr>
        <w:pStyle w:val="9"/>
        <w:ind w:firstLine="482"/>
      </w:pPr>
      <w:r>
        <w:rPr>
          <w:rFonts w:hint="eastAsia"/>
        </w:rPr>
        <w:t>二、资格文件正本一份，副本份（包含按投标人须知第10.1.2项要求提交的全部文件）；</w:t>
      </w:r>
    </w:p>
    <w:p>
      <w:pPr>
        <w:pStyle w:val="9"/>
        <w:ind w:firstLine="482"/>
      </w:pPr>
      <w:r>
        <w:rPr>
          <w:rFonts w:hint="eastAsia"/>
        </w:rPr>
        <w:t>三、</w:t>
      </w:r>
      <w:r>
        <w:rPr>
          <w:rFonts w:hint="eastAsia" w:hAnsi="宋体"/>
        </w:rPr>
        <w:t>技术</w:t>
      </w:r>
      <w:r>
        <w:rPr>
          <w:rFonts w:hint="eastAsia"/>
        </w:rPr>
        <w:t>文件正本一份，副本份（包含按投标人须知第10.1.3项要求提交的全部文件）；</w:t>
      </w:r>
    </w:p>
    <w:p>
      <w:pPr>
        <w:pStyle w:val="9"/>
        <w:ind w:firstLine="482"/>
        <w:rPr>
          <w:rFonts w:ascii="Times New Roman" w:hAnsi="Times New Roman"/>
        </w:rPr>
      </w:pPr>
      <w:r>
        <w:rPr>
          <w:rFonts w:hint="eastAsia" w:hAnsi="宋体"/>
        </w:rPr>
        <w:t>四、</w:t>
      </w:r>
      <w:r>
        <w:rPr>
          <w:rFonts w:hint="eastAsia"/>
        </w:rPr>
        <w:t>商务</w:t>
      </w:r>
      <w:r>
        <w:rPr>
          <w:rFonts w:hint="eastAsia" w:hAnsi="宋体"/>
        </w:rPr>
        <w:t>文件正本一份，副本份（包含按投标人须知第10.1.4项要求</w:t>
      </w:r>
      <w:r>
        <w:rPr>
          <w:rFonts w:hint="eastAsia"/>
        </w:rPr>
        <w:t>提交的全部文件）。</w:t>
      </w:r>
    </w:p>
    <w:p>
      <w:pPr>
        <w:pStyle w:val="9"/>
        <w:ind w:firstLine="482"/>
        <w:rPr>
          <w:rFonts w:ascii="Times New Roman" w:hAnsi="Times New Roman"/>
        </w:rPr>
      </w:pPr>
      <w:r>
        <w:rPr>
          <w:rFonts w:hint="eastAsia"/>
        </w:rPr>
        <w:t>据此函，签字人兹宣布：</w:t>
      </w:r>
    </w:p>
    <w:p>
      <w:pPr>
        <w:pStyle w:val="9"/>
        <w:ind w:firstLine="482"/>
        <w:rPr>
          <w:rFonts w:ascii="Times New Roman" w:hAnsi="Times New Roman"/>
        </w:rPr>
      </w:pPr>
      <w:r>
        <w:rPr>
          <w:rFonts w:hint="eastAsia"/>
        </w:rPr>
        <w:t>1、我方愿意以（大写）人民币（￥元)的投标总报价，交货期（无分标时填写）：，提供本项目招标文件第二章“货物需求一览表”中的采购内容。</w:t>
      </w:r>
    </w:p>
    <w:p>
      <w:pPr>
        <w:pStyle w:val="9"/>
        <w:ind w:firstLine="482"/>
        <w:rPr>
          <w:rFonts w:ascii="Times New Roman" w:hAnsi="Times New Roman"/>
        </w:rPr>
      </w:pPr>
      <w:r>
        <w:rPr>
          <w:rFonts w:hint="eastAsia"/>
        </w:rPr>
        <w:t>其中（有分标时填写）：</w:t>
      </w:r>
    </w:p>
    <w:p>
      <w:pPr>
        <w:pStyle w:val="9"/>
        <w:ind w:firstLine="482"/>
        <w:rPr>
          <w:rFonts w:ascii="Times New Roman" w:hAnsi="Times New Roman"/>
        </w:rPr>
      </w:pPr>
      <w:r>
        <w:rPr>
          <w:rFonts w:hint="eastAsia"/>
        </w:rPr>
        <w:t>分标报价为（大写）人民币 (￥元)，交货期：；</w:t>
      </w:r>
    </w:p>
    <w:p>
      <w:pPr>
        <w:pStyle w:val="9"/>
        <w:ind w:firstLine="482"/>
        <w:rPr>
          <w:rFonts w:ascii="Times New Roman" w:hAnsi="Times New Roman"/>
        </w:rPr>
      </w:pPr>
      <w:r>
        <w:rPr>
          <w:rFonts w:hint="eastAsia"/>
        </w:rPr>
        <w:t>分标报价为（大写）人民币 (￥元)，交货期：；</w:t>
      </w:r>
    </w:p>
    <w:p>
      <w:pPr>
        <w:pStyle w:val="9"/>
        <w:ind w:firstLine="482"/>
        <w:rPr>
          <w:rFonts w:ascii="Times New Roman" w:hAnsi="Times New Roman"/>
        </w:rPr>
      </w:pPr>
      <w:r>
        <w:rPr>
          <w:rFonts w:hint="eastAsia"/>
        </w:rPr>
        <w:t>......</w:t>
      </w:r>
    </w:p>
    <w:p>
      <w:pPr>
        <w:pStyle w:val="9"/>
        <w:ind w:firstLine="482"/>
      </w:pPr>
      <w:r>
        <w:rPr>
          <w:rFonts w:hint="eastAsia"/>
        </w:rPr>
        <w:t>2、我方同意自本项目招标文件“投标人须知”第14.2项规定的投标截止时间（开标时间）起遵循</w:t>
      </w:r>
      <w:r>
        <w:rPr>
          <w:rFonts w:hint="eastAsia" w:hAnsi="宋体"/>
        </w:rPr>
        <w:t>本投标函</w:t>
      </w:r>
      <w:r>
        <w:rPr>
          <w:rFonts w:hint="eastAsia"/>
        </w:rPr>
        <w:t>，并承诺在“投标人须知”第12.1项规定的投标有效期内不修改、撤销投标文件。</w:t>
      </w:r>
    </w:p>
    <w:p>
      <w:pPr>
        <w:pStyle w:val="9"/>
        <w:ind w:firstLine="482"/>
      </w:pPr>
      <w:r>
        <w:rPr>
          <w:rFonts w:hint="eastAsia"/>
        </w:rPr>
        <w:t>3、我方在此声明，所递交的投标文件及有关资料内容完整、真实和准确。</w:t>
      </w:r>
    </w:p>
    <w:p>
      <w:pPr>
        <w:pStyle w:val="9"/>
        <w:ind w:firstLine="482"/>
      </w:pPr>
      <w:r>
        <w:rPr>
          <w:rFonts w:hint="eastAsia"/>
        </w:rPr>
        <w:t>4、我方承诺已经具备《中华人民共和国政府采购法》中规定的参加采购活动的供应商应当具备的条件：</w:t>
      </w:r>
    </w:p>
    <w:p>
      <w:pPr>
        <w:pStyle w:val="9"/>
        <w:numPr>
          <w:ilvl w:val="0"/>
          <w:numId w:val="1"/>
        </w:numPr>
      </w:pPr>
      <w:r>
        <w:rPr>
          <w:rFonts w:hint="eastAsia"/>
        </w:rPr>
        <w:t>具有独立承担民事责任的能力；</w:t>
      </w:r>
    </w:p>
    <w:p>
      <w:pPr>
        <w:pStyle w:val="9"/>
        <w:numPr>
          <w:ilvl w:val="0"/>
          <w:numId w:val="1"/>
        </w:numPr>
      </w:pPr>
      <w:r>
        <w:rPr>
          <w:rFonts w:hint="eastAsia"/>
        </w:rPr>
        <w:t>具有良好的商业信誉和健全的财务会计制度；</w:t>
      </w:r>
    </w:p>
    <w:p>
      <w:pPr>
        <w:pStyle w:val="9"/>
        <w:numPr>
          <w:ilvl w:val="0"/>
          <w:numId w:val="1"/>
        </w:numPr>
      </w:pPr>
      <w:r>
        <w:rPr>
          <w:rFonts w:hint="eastAsia"/>
        </w:rPr>
        <w:t>具有履行合同所必需的设备和专业技术能力；</w:t>
      </w:r>
    </w:p>
    <w:p>
      <w:pPr>
        <w:pStyle w:val="9"/>
        <w:numPr>
          <w:ilvl w:val="0"/>
          <w:numId w:val="1"/>
        </w:numPr>
      </w:pPr>
      <w:r>
        <w:rPr>
          <w:rFonts w:hint="eastAsia"/>
        </w:rPr>
        <w:t>有依法缴纳税收和社会保障资金的良好记录；</w:t>
      </w:r>
    </w:p>
    <w:p>
      <w:pPr>
        <w:pStyle w:val="9"/>
        <w:numPr>
          <w:ilvl w:val="0"/>
          <w:numId w:val="1"/>
        </w:numPr>
      </w:pPr>
      <w:r>
        <w:rPr>
          <w:rFonts w:hint="eastAsia"/>
        </w:rPr>
        <w:t>参加采购活动前三年内，在经营活动中没有重大违法记录；</w:t>
      </w:r>
    </w:p>
    <w:p>
      <w:pPr>
        <w:pStyle w:val="9"/>
        <w:numPr>
          <w:ilvl w:val="0"/>
          <w:numId w:val="1"/>
        </w:numPr>
      </w:pPr>
      <w:r>
        <w:rPr>
          <w:rFonts w:hint="eastAsia"/>
        </w:rPr>
        <w:t>法律、行政法规规定的其他条件。</w:t>
      </w:r>
    </w:p>
    <w:p>
      <w:pPr>
        <w:pStyle w:val="9"/>
        <w:ind w:firstLine="482"/>
      </w:pPr>
      <w:r>
        <w:rPr>
          <w:rFonts w:hint="eastAsia"/>
        </w:rPr>
        <w:t>5、</w:t>
      </w:r>
      <w:r>
        <w:rPr>
          <w:rFonts w:hint="eastAsia"/>
          <w:szCs w:val="21"/>
        </w:rPr>
        <w:t>如本项目采购内容涉及须符合国家强制规定的，我方承诺我方本次投标（包括资格条件和所投产品）均符合国家有关强制规定。</w:t>
      </w:r>
    </w:p>
    <w:p>
      <w:pPr>
        <w:pStyle w:val="9"/>
        <w:ind w:firstLine="482"/>
      </w:pPr>
      <w:r>
        <w:rPr>
          <w:rFonts w:hint="eastAsia"/>
        </w:rPr>
        <w:t>6、如我方中标，我方承诺在收到中标通知书后，在中标通知书规定的期限内，</w:t>
      </w:r>
      <w:r>
        <w:rPr>
          <w:rFonts w:hint="eastAsia" w:hAnsi="宋体"/>
        </w:rPr>
        <w:t>根据招标文件、我方的投标文件及有关澄清承诺书的要求按第五章“合同条款及格式”与采购人订立书面合同，并按照合同约定</w:t>
      </w:r>
      <w:r>
        <w:rPr>
          <w:rFonts w:hint="eastAsia"/>
        </w:rPr>
        <w:t>承担完成合同的责任和义务。</w:t>
      </w:r>
    </w:p>
    <w:p>
      <w:pPr>
        <w:pStyle w:val="9"/>
        <w:ind w:firstLine="482"/>
      </w:pPr>
      <w:r>
        <w:rPr>
          <w:rFonts w:hint="eastAsia"/>
        </w:rPr>
        <w:t>7、我方已详细审核招标文件，我方知道必须放弃提出含糊不清或误解问题的权利。</w:t>
      </w:r>
    </w:p>
    <w:p>
      <w:pPr>
        <w:pStyle w:val="9"/>
        <w:ind w:firstLine="482"/>
      </w:pPr>
      <w:r>
        <w:rPr>
          <w:rFonts w:hint="eastAsia"/>
        </w:rPr>
        <w:t>8、如我方有本项目招标文件第四章“投标人须知”第13.</w:t>
      </w:r>
      <w:r>
        <w:t>5</w:t>
      </w:r>
      <w:r>
        <w:rPr>
          <w:rFonts w:hint="eastAsia"/>
        </w:rPr>
        <w:t>项所述的情形之一的，贵方有权不予退回我方交纳的投标保证金。</w:t>
      </w:r>
    </w:p>
    <w:p>
      <w:pPr>
        <w:pStyle w:val="9"/>
        <w:ind w:firstLine="482"/>
      </w:pPr>
      <w:r>
        <w:rPr>
          <w:rFonts w:hint="eastAsia"/>
        </w:rPr>
        <w:t>9、我方同意应贵方要求提供与本投标有关的任何数据或资料。若贵方需要，我方愿意提供我方作出的一切承诺的证明材料。</w:t>
      </w:r>
    </w:p>
    <w:p>
      <w:pPr>
        <w:pStyle w:val="9"/>
        <w:ind w:firstLine="482"/>
      </w:pPr>
      <w:r>
        <w:rPr>
          <w:rFonts w:hint="eastAsia"/>
        </w:rPr>
        <w:t>10、我方完全理解贵方不一定接受投标报价最低的投标人为中标单位的行为。</w:t>
      </w:r>
    </w:p>
    <w:p>
      <w:pPr>
        <w:pStyle w:val="9"/>
        <w:ind w:firstLine="482"/>
      </w:pPr>
      <w:r>
        <w:rPr>
          <w:rFonts w:hint="eastAsia"/>
        </w:rPr>
        <w:t>11、我方将严格遵守《中华人民共和国政府采购法》第七十七条的规定，即供应商有下列情形之一的，处以采购金额千分之五以上千分之十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以下的罚款，列入不良行为记录名单，在一至三年内禁止参加采购活动，有违法所得的，并处没收违法所得，情节严重的，由工商行政管理机关吊销营业执照；构成犯罪的，依法追究刑事责任：</w:t>
      </w:r>
    </w:p>
    <w:p>
      <w:pPr>
        <w:pStyle w:val="9"/>
        <w:numPr>
          <w:ilvl w:val="0"/>
          <w:numId w:val="2"/>
        </w:numPr>
        <w:rPr>
          <w:rFonts w:hAnsi="宋体"/>
        </w:rPr>
      </w:pPr>
      <w:r>
        <w:rPr>
          <w:rFonts w:hint="eastAsia" w:hAnsi="宋体"/>
        </w:rPr>
        <w:t>提供虚假材料谋取中标、成交的；</w:t>
      </w:r>
    </w:p>
    <w:p>
      <w:pPr>
        <w:pStyle w:val="9"/>
        <w:numPr>
          <w:ilvl w:val="0"/>
          <w:numId w:val="2"/>
        </w:numPr>
        <w:rPr>
          <w:rFonts w:hAnsi="宋体"/>
        </w:rPr>
      </w:pPr>
      <w:r>
        <w:rPr>
          <w:rFonts w:hint="eastAsia" w:hAnsi="宋体"/>
        </w:rPr>
        <w:t>采取不正当手段诋毁、排挤其他供应商的；</w:t>
      </w:r>
    </w:p>
    <w:p>
      <w:pPr>
        <w:pStyle w:val="9"/>
        <w:numPr>
          <w:ilvl w:val="0"/>
          <w:numId w:val="2"/>
        </w:numPr>
      </w:pPr>
      <w:r>
        <w:rPr>
          <w:rFonts w:hint="eastAsia" w:hAnsi="宋体"/>
        </w:rPr>
        <w:t>与采购人、其他供应商构恶意串通的；</w:t>
      </w:r>
    </w:p>
    <w:p>
      <w:pPr>
        <w:pStyle w:val="9"/>
        <w:numPr>
          <w:ilvl w:val="0"/>
          <w:numId w:val="2"/>
        </w:numPr>
      </w:pPr>
      <w:r>
        <w:rPr>
          <w:rFonts w:hint="eastAsia" w:hAnsi="宋体"/>
        </w:rPr>
        <w:t>向采购人行贿或者提供其他不正当利益的；</w:t>
      </w:r>
    </w:p>
    <w:p>
      <w:pPr>
        <w:pStyle w:val="9"/>
        <w:numPr>
          <w:ilvl w:val="0"/>
          <w:numId w:val="2"/>
        </w:numPr>
      </w:pPr>
      <w:r>
        <w:rPr>
          <w:rFonts w:hint="eastAsia" w:hAnsi="宋体"/>
        </w:rPr>
        <w:t>在招标采购过程中与采购人进行协商谈判的；</w:t>
      </w:r>
    </w:p>
    <w:p>
      <w:pPr>
        <w:pStyle w:val="9"/>
        <w:ind w:firstLine="420" w:firstLineChars="200"/>
        <w:rPr>
          <w:rFonts w:hAnsi="宋体"/>
        </w:rPr>
      </w:pPr>
      <w:r>
        <w:rPr>
          <w:rFonts w:hint="eastAsia" w:hAnsi="宋体"/>
        </w:rPr>
        <w:t>（6）  拒绝有关部门监督检查或提供虚假情况的。</w:t>
      </w:r>
    </w:p>
    <w:p>
      <w:pPr>
        <w:pStyle w:val="9"/>
        <w:ind w:firstLine="482"/>
      </w:pPr>
      <w:r>
        <w:rPr>
          <w:rFonts w:hint="eastAsia"/>
        </w:rPr>
        <w:t>12、我方及由本人担任法定代表人的其他机构最近三年内被通报或者被处罚的违法行为有：</w:t>
      </w:r>
      <w:r>
        <w:rPr>
          <w:rFonts w:hint="eastAsia"/>
          <w:u w:val="single"/>
        </w:rPr>
        <w:t>______________________________________________________________________________________</w:t>
      </w:r>
      <w:r>
        <w:rPr>
          <w:rFonts w:hint="eastAsia"/>
        </w:rPr>
        <w:t>。</w:t>
      </w:r>
    </w:p>
    <w:p>
      <w:pPr>
        <w:pStyle w:val="9"/>
        <w:ind w:left="420"/>
      </w:pPr>
      <w:r>
        <w:rPr>
          <w:rFonts w:hint="eastAsia"/>
        </w:rPr>
        <w:t>13、以上事项如有虚假或隐瞒，我方愿意承担一切后果，并不再寻求任何旨在减轻或免除法律责任的辩解。</w:t>
      </w:r>
    </w:p>
    <w:p>
      <w:pPr>
        <w:pStyle w:val="9"/>
        <w:ind w:firstLine="420"/>
        <w:rPr>
          <w:u w:val="single"/>
        </w:rPr>
      </w:pPr>
      <w:r>
        <w:rPr>
          <w:rFonts w:hint="eastAsia"/>
        </w:rPr>
        <w:t>投标人：（盖单位公章）</w:t>
      </w:r>
    </w:p>
    <w:p>
      <w:pPr>
        <w:pStyle w:val="9"/>
        <w:ind w:firstLine="420"/>
      </w:pPr>
      <w:r>
        <w:rPr>
          <w:rFonts w:hint="eastAsia" w:ascii="Times New Roman" w:hAnsi="Times New Roman"/>
        </w:rPr>
        <w:t>法定代表人或其委托代理人：（签字或盖章）</w:t>
      </w:r>
    </w:p>
    <w:p>
      <w:pPr>
        <w:pStyle w:val="9"/>
        <w:ind w:firstLine="420"/>
      </w:pPr>
      <w:r>
        <w:rPr>
          <w:rFonts w:hint="eastAsia"/>
        </w:rPr>
        <w:t>地址：</w:t>
      </w:r>
    </w:p>
    <w:p>
      <w:pPr>
        <w:pStyle w:val="9"/>
        <w:ind w:firstLine="420"/>
        <w:rPr>
          <w:u w:val="single"/>
        </w:rPr>
      </w:pPr>
      <w:r>
        <w:rPr>
          <w:rFonts w:hint="eastAsia"/>
        </w:rPr>
        <w:t>电话：</w:t>
      </w:r>
      <w:r>
        <w:rPr>
          <w:rFonts w:hint="eastAsia"/>
          <w:u w:val="single"/>
        </w:rPr>
        <w:t xml:space="preserve">                                      　　　　　　　　　</w:t>
      </w:r>
    </w:p>
    <w:p>
      <w:pPr>
        <w:pStyle w:val="9"/>
        <w:ind w:firstLine="420"/>
      </w:pPr>
      <w:r>
        <w:rPr>
          <w:rFonts w:hint="eastAsia"/>
        </w:rPr>
        <w:t>传真：</w:t>
      </w:r>
      <w:r>
        <w:rPr>
          <w:rFonts w:hint="eastAsia"/>
          <w:u w:val="single"/>
        </w:rPr>
        <w:t>　　　　　　　　　　　　　　　　　　　　　　　　　　　　</w:t>
      </w:r>
    </w:p>
    <w:p>
      <w:pPr>
        <w:pStyle w:val="9"/>
        <w:ind w:firstLine="420"/>
        <w:rPr>
          <w:u w:val="single"/>
        </w:rPr>
      </w:pPr>
      <w:r>
        <w:rPr>
          <w:rFonts w:hint="eastAsia"/>
        </w:rPr>
        <w:t>邮政编码：</w:t>
      </w:r>
    </w:p>
    <w:p>
      <w:pPr>
        <w:pStyle w:val="9"/>
        <w:ind w:firstLine="420"/>
        <w:rPr>
          <w:u w:val="single"/>
        </w:rPr>
      </w:pPr>
      <w:r>
        <w:rPr>
          <w:rFonts w:hint="eastAsia"/>
        </w:rPr>
        <w:t>开户名称：</w:t>
      </w:r>
    </w:p>
    <w:p>
      <w:pPr>
        <w:pStyle w:val="9"/>
        <w:ind w:firstLine="420"/>
        <w:rPr>
          <w:u w:val="single"/>
        </w:rPr>
      </w:pPr>
      <w:r>
        <w:rPr>
          <w:rFonts w:hint="eastAsia"/>
        </w:rPr>
        <w:t>开户银行：</w:t>
      </w:r>
    </w:p>
    <w:p>
      <w:pPr>
        <w:pStyle w:val="9"/>
        <w:ind w:firstLine="420"/>
        <w:rPr>
          <w:u w:val="single"/>
        </w:rPr>
      </w:pPr>
      <w:r>
        <w:rPr>
          <w:rFonts w:hint="eastAsia"/>
        </w:rPr>
        <w:t>银行账号：</w:t>
      </w:r>
    </w:p>
    <w:p>
      <w:pPr>
        <w:pStyle w:val="9"/>
        <w:ind w:firstLine="420"/>
        <w:rPr>
          <w:u w:val="single"/>
        </w:rPr>
      </w:pPr>
      <w:r>
        <w:rPr>
          <w:rFonts w:hint="eastAsia"/>
          <w:bCs/>
          <w:szCs w:val="21"/>
        </w:rPr>
        <w:t>年月日</w:t>
      </w:r>
      <w:r>
        <w:rPr>
          <w:rFonts w:hint="eastAsia" w:ascii="黑体" w:eastAsia="黑体"/>
          <w:b/>
          <w:bCs/>
        </w:rPr>
        <w:br w:type="page"/>
      </w:r>
    </w:p>
    <w:p>
      <w:pPr>
        <w:pStyle w:val="9"/>
        <w:spacing w:line="360" w:lineRule="auto"/>
        <w:ind w:firstLine="420"/>
        <w:jc w:val="center"/>
        <w:rPr>
          <w:rFonts w:ascii="Times New Roman" w:hAnsi="Times New Roman"/>
          <w:b/>
          <w:bCs/>
          <w:sz w:val="30"/>
          <w:szCs w:val="30"/>
        </w:rPr>
      </w:pPr>
      <w:r>
        <w:rPr>
          <w:rFonts w:hint="eastAsia" w:ascii="Times New Roman" w:hAnsi="Times New Roman"/>
          <w:b/>
          <w:bCs/>
          <w:sz w:val="30"/>
          <w:szCs w:val="30"/>
        </w:rPr>
        <w:t>投标报价表（格式）</w:t>
      </w:r>
    </w:p>
    <w:p>
      <w:pPr>
        <w:pStyle w:val="9"/>
        <w:rPr>
          <w:rFonts w:ascii="Times New Roman" w:hAnsi="Times New Roman"/>
          <w:b/>
          <w:sz w:val="24"/>
        </w:rPr>
      </w:pPr>
    </w:p>
    <w:p>
      <w:pPr>
        <w:pStyle w:val="9"/>
      </w:pPr>
      <w:r>
        <w:rPr>
          <w:rFonts w:hint="eastAsia"/>
          <w:u w:val="single"/>
        </w:rPr>
        <w:t xml:space="preserve"> 　　</w:t>
      </w:r>
      <w:r>
        <w:rPr>
          <w:rFonts w:hint="eastAsia"/>
        </w:rPr>
        <w:t>分标（有分标时填写）</w:t>
      </w:r>
    </w:p>
    <w:tbl>
      <w:tblPr>
        <w:tblStyle w:val="21"/>
        <w:tblW w:w="985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40"/>
        <w:gridCol w:w="850"/>
        <w:gridCol w:w="1895"/>
        <w:gridCol w:w="1224"/>
        <w:gridCol w:w="1417"/>
        <w:gridCol w:w="184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525"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1140" w:type="dxa"/>
            <w:tcBorders>
              <w:top w:val="single" w:color="auto" w:sz="4" w:space="0"/>
              <w:left w:val="single" w:color="auto" w:sz="4" w:space="0"/>
              <w:bottom w:val="single" w:color="auto" w:sz="4" w:space="0"/>
              <w:right w:val="single" w:color="auto" w:sz="4" w:space="0"/>
            </w:tcBorders>
            <w:vAlign w:val="center"/>
          </w:tcPr>
          <w:p>
            <w:r>
              <w:rPr>
                <w:rFonts w:hint="eastAsia"/>
              </w:rPr>
              <w:t>货物名称</w:t>
            </w:r>
          </w:p>
        </w:tc>
        <w:tc>
          <w:tcPr>
            <w:tcW w:w="850" w:type="dxa"/>
            <w:tcBorders>
              <w:top w:val="single" w:color="auto" w:sz="4" w:space="0"/>
              <w:left w:val="single" w:color="auto" w:sz="4" w:space="0"/>
              <w:bottom w:val="single" w:color="auto" w:sz="4" w:space="0"/>
              <w:right w:val="single" w:color="auto" w:sz="4" w:space="0"/>
            </w:tcBorders>
            <w:vAlign w:val="center"/>
          </w:tcPr>
          <w:p>
            <w:r>
              <w:rPr>
                <w:rFonts w:hint="eastAsia"/>
              </w:rPr>
              <w:t>数量①</w:t>
            </w:r>
          </w:p>
        </w:tc>
        <w:tc>
          <w:tcPr>
            <w:tcW w:w="1895" w:type="dxa"/>
            <w:tcBorders>
              <w:top w:val="single" w:color="auto" w:sz="4" w:space="0"/>
              <w:left w:val="single" w:color="auto" w:sz="4" w:space="0"/>
              <w:bottom w:val="single" w:color="auto" w:sz="4" w:space="0"/>
              <w:right w:val="single" w:color="auto" w:sz="4" w:space="0"/>
            </w:tcBorders>
            <w:vAlign w:val="center"/>
          </w:tcPr>
          <w:p>
            <w:r>
              <w:rPr>
                <w:rFonts w:hint="eastAsia"/>
              </w:rPr>
              <w:t>货物全称、品牌、生产厂家及国别</w:t>
            </w:r>
          </w:p>
        </w:tc>
        <w:tc>
          <w:tcPr>
            <w:tcW w:w="1224" w:type="dxa"/>
            <w:tcBorders>
              <w:top w:val="single" w:color="auto" w:sz="4" w:space="0"/>
              <w:left w:val="single" w:color="auto" w:sz="4" w:space="0"/>
              <w:bottom w:val="single" w:color="auto" w:sz="4" w:space="0"/>
              <w:right w:val="single" w:color="auto" w:sz="4" w:space="0"/>
            </w:tcBorders>
            <w:vAlign w:val="center"/>
          </w:tcPr>
          <w:p>
            <w:r>
              <w:rPr>
                <w:rFonts w:hint="eastAsia"/>
              </w:rPr>
              <w:t>规格型号</w:t>
            </w:r>
          </w:p>
        </w:tc>
        <w:tc>
          <w:tcPr>
            <w:tcW w:w="1417" w:type="dxa"/>
            <w:tcBorders>
              <w:top w:val="single" w:color="auto" w:sz="4" w:space="0"/>
              <w:left w:val="single" w:color="auto" w:sz="4" w:space="0"/>
              <w:bottom w:val="single" w:color="auto" w:sz="4" w:space="0"/>
              <w:right w:val="single" w:color="auto" w:sz="4" w:space="0"/>
            </w:tcBorders>
            <w:vAlign w:val="center"/>
          </w:tcPr>
          <w:p>
            <w:r>
              <w:rPr>
                <w:rFonts w:hint="eastAsia"/>
              </w:rPr>
              <w:t>单价</w:t>
            </w:r>
            <w:r>
              <w:t>(</w:t>
            </w:r>
            <w:r>
              <w:rPr>
                <w:rFonts w:hint="eastAsia"/>
              </w:rPr>
              <w:t>元</w:t>
            </w:r>
            <w:r>
              <w:t>)</w:t>
            </w:r>
            <w:r>
              <w:rPr>
                <w:rFonts w:hint="eastAsia"/>
              </w:rPr>
              <w:t>②</w:t>
            </w:r>
          </w:p>
        </w:tc>
        <w:tc>
          <w:tcPr>
            <w:tcW w:w="1843" w:type="dxa"/>
            <w:tcBorders>
              <w:top w:val="single" w:color="auto" w:sz="4" w:space="0"/>
              <w:left w:val="single" w:color="auto" w:sz="4" w:space="0"/>
              <w:bottom w:val="single" w:color="auto" w:sz="4" w:space="0"/>
              <w:right w:val="single" w:color="auto" w:sz="4" w:space="0"/>
            </w:tcBorders>
            <w:vAlign w:val="center"/>
          </w:tcPr>
          <w:p>
            <w:r>
              <w:rPr>
                <w:rFonts w:hint="eastAsia"/>
              </w:rPr>
              <w:t>单项合价（元）</w:t>
            </w:r>
          </w:p>
          <w:p>
            <w:r>
              <w:rPr>
                <w:rFonts w:hint="eastAsia"/>
              </w:rPr>
              <w:t>③＝①×②</w:t>
            </w:r>
          </w:p>
        </w:tc>
        <w:tc>
          <w:tcPr>
            <w:tcW w:w="957" w:type="dxa"/>
            <w:tcBorders>
              <w:top w:val="single" w:color="auto" w:sz="4" w:space="0"/>
              <w:left w:val="single" w:color="auto" w:sz="4" w:space="0"/>
              <w:bottom w:val="single" w:color="auto" w:sz="4" w:space="0"/>
              <w:right w:val="single" w:color="auto" w:sz="4" w:space="0"/>
            </w:tcBorders>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525" w:type="dxa"/>
            <w:tcBorders>
              <w:top w:val="single" w:color="auto" w:sz="4" w:space="0"/>
              <w:left w:val="single" w:color="auto" w:sz="4" w:space="0"/>
              <w:bottom w:val="single" w:color="auto" w:sz="4" w:space="0"/>
              <w:right w:val="single" w:color="auto" w:sz="4" w:space="0"/>
            </w:tcBorders>
            <w:vAlign w:val="center"/>
          </w:tcPr>
          <w:p>
            <w:r>
              <w:t>1</w:t>
            </w:r>
          </w:p>
        </w:tc>
        <w:tc>
          <w:tcPr>
            <w:tcW w:w="1140" w:type="dxa"/>
            <w:tcBorders>
              <w:top w:val="single" w:color="auto" w:sz="4" w:space="0"/>
              <w:left w:val="single" w:color="auto" w:sz="4" w:space="0"/>
              <w:bottom w:val="single" w:color="auto" w:sz="4" w:space="0"/>
              <w:right w:val="single" w:color="auto" w:sz="4" w:space="0"/>
            </w:tcBorders>
            <w:vAlign w:val="center"/>
          </w:tcPr>
          <w:p/>
        </w:tc>
        <w:tc>
          <w:tcPr>
            <w:tcW w:w="850" w:type="dxa"/>
            <w:tcBorders>
              <w:top w:val="single" w:color="auto" w:sz="4" w:space="0"/>
              <w:left w:val="single" w:color="auto" w:sz="4" w:space="0"/>
              <w:bottom w:val="single" w:color="auto" w:sz="4" w:space="0"/>
              <w:right w:val="single" w:color="auto" w:sz="4" w:space="0"/>
            </w:tcBorders>
            <w:vAlign w:val="center"/>
          </w:tcPr>
          <w:p/>
        </w:tc>
        <w:tc>
          <w:tcPr>
            <w:tcW w:w="1895" w:type="dxa"/>
            <w:tcBorders>
              <w:top w:val="single" w:color="auto" w:sz="4" w:space="0"/>
              <w:left w:val="single" w:color="auto" w:sz="4" w:space="0"/>
              <w:bottom w:val="single" w:color="auto" w:sz="4" w:space="0"/>
              <w:right w:val="single" w:color="auto" w:sz="4" w:space="0"/>
            </w:tcBorders>
            <w:vAlign w:val="center"/>
          </w:tcPr>
          <w:p/>
        </w:tc>
        <w:tc>
          <w:tcPr>
            <w:tcW w:w="122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957"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525" w:type="dxa"/>
            <w:tcBorders>
              <w:top w:val="single" w:color="auto" w:sz="4" w:space="0"/>
              <w:left w:val="single" w:color="auto" w:sz="4" w:space="0"/>
              <w:bottom w:val="single" w:color="auto" w:sz="4" w:space="0"/>
              <w:right w:val="single" w:color="auto" w:sz="4" w:space="0"/>
            </w:tcBorders>
            <w:vAlign w:val="center"/>
          </w:tcPr>
          <w:p>
            <w:r>
              <w:t>2</w:t>
            </w:r>
          </w:p>
        </w:tc>
        <w:tc>
          <w:tcPr>
            <w:tcW w:w="1140" w:type="dxa"/>
            <w:tcBorders>
              <w:top w:val="single" w:color="auto" w:sz="4" w:space="0"/>
              <w:left w:val="single" w:color="auto" w:sz="4" w:space="0"/>
              <w:bottom w:val="single" w:color="auto" w:sz="4" w:space="0"/>
              <w:right w:val="single" w:color="auto" w:sz="4" w:space="0"/>
            </w:tcBorders>
            <w:vAlign w:val="center"/>
          </w:tcPr>
          <w:p/>
        </w:tc>
        <w:tc>
          <w:tcPr>
            <w:tcW w:w="850" w:type="dxa"/>
            <w:tcBorders>
              <w:top w:val="single" w:color="auto" w:sz="4" w:space="0"/>
              <w:left w:val="single" w:color="auto" w:sz="4" w:space="0"/>
              <w:bottom w:val="single" w:color="auto" w:sz="4" w:space="0"/>
              <w:right w:val="single" w:color="auto" w:sz="4" w:space="0"/>
            </w:tcBorders>
            <w:vAlign w:val="center"/>
          </w:tcPr>
          <w:p/>
        </w:tc>
        <w:tc>
          <w:tcPr>
            <w:tcW w:w="1895" w:type="dxa"/>
            <w:tcBorders>
              <w:top w:val="single" w:color="auto" w:sz="4" w:space="0"/>
              <w:left w:val="single" w:color="auto" w:sz="4" w:space="0"/>
              <w:bottom w:val="single" w:color="auto" w:sz="4" w:space="0"/>
              <w:right w:val="single" w:color="auto" w:sz="4" w:space="0"/>
            </w:tcBorders>
            <w:vAlign w:val="center"/>
          </w:tcPr>
          <w:p/>
        </w:tc>
        <w:tc>
          <w:tcPr>
            <w:tcW w:w="122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957"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525" w:type="dxa"/>
            <w:tcBorders>
              <w:top w:val="single" w:color="auto" w:sz="4" w:space="0"/>
              <w:left w:val="single" w:color="auto" w:sz="4" w:space="0"/>
              <w:bottom w:val="single" w:color="auto" w:sz="4" w:space="0"/>
              <w:right w:val="single" w:color="auto" w:sz="4" w:space="0"/>
            </w:tcBorders>
            <w:vAlign w:val="center"/>
          </w:tcPr>
          <w:p>
            <w:r>
              <w:t>...</w:t>
            </w:r>
          </w:p>
        </w:tc>
        <w:tc>
          <w:tcPr>
            <w:tcW w:w="1140" w:type="dxa"/>
            <w:tcBorders>
              <w:top w:val="single" w:color="auto" w:sz="4" w:space="0"/>
              <w:left w:val="single" w:color="auto" w:sz="4" w:space="0"/>
              <w:bottom w:val="single" w:color="auto" w:sz="4" w:space="0"/>
              <w:right w:val="single" w:color="auto" w:sz="4" w:space="0"/>
            </w:tcBorders>
            <w:vAlign w:val="center"/>
          </w:tcPr>
          <w:p/>
        </w:tc>
        <w:tc>
          <w:tcPr>
            <w:tcW w:w="850" w:type="dxa"/>
            <w:tcBorders>
              <w:top w:val="single" w:color="auto" w:sz="4" w:space="0"/>
              <w:left w:val="single" w:color="auto" w:sz="4" w:space="0"/>
              <w:bottom w:val="single" w:color="auto" w:sz="4" w:space="0"/>
              <w:right w:val="single" w:color="auto" w:sz="4" w:space="0"/>
            </w:tcBorders>
            <w:vAlign w:val="center"/>
          </w:tcPr>
          <w:p/>
        </w:tc>
        <w:tc>
          <w:tcPr>
            <w:tcW w:w="1895" w:type="dxa"/>
            <w:tcBorders>
              <w:top w:val="single" w:color="auto" w:sz="4" w:space="0"/>
              <w:left w:val="single" w:color="auto" w:sz="4" w:space="0"/>
              <w:bottom w:val="single" w:color="auto" w:sz="4" w:space="0"/>
              <w:right w:val="single" w:color="auto" w:sz="4" w:space="0"/>
            </w:tcBorders>
            <w:vAlign w:val="center"/>
          </w:tcPr>
          <w:p/>
        </w:tc>
        <w:tc>
          <w:tcPr>
            <w:tcW w:w="122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957"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851" w:type="dxa"/>
            <w:gridSpan w:val="8"/>
            <w:tcBorders>
              <w:top w:val="single" w:color="auto" w:sz="4" w:space="0"/>
              <w:left w:val="single" w:color="auto" w:sz="4" w:space="0"/>
              <w:bottom w:val="single" w:color="auto" w:sz="4" w:space="0"/>
              <w:right w:val="single" w:color="auto" w:sz="4" w:space="0"/>
            </w:tcBorders>
            <w:vAlign w:val="center"/>
          </w:tcPr>
          <w:p>
            <w:r>
              <w:rPr>
                <w:rFonts w:hint="eastAsia"/>
              </w:rPr>
              <w:t>分标报价：（大写）人民币（￥元）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851" w:type="dxa"/>
            <w:gridSpan w:val="8"/>
            <w:tcBorders>
              <w:top w:val="single" w:color="auto" w:sz="4" w:space="0"/>
              <w:left w:val="single" w:color="auto" w:sz="4" w:space="0"/>
              <w:bottom w:val="single" w:color="auto" w:sz="4" w:space="0"/>
              <w:right w:val="single" w:color="auto" w:sz="4" w:space="0"/>
            </w:tcBorders>
            <w:vAlign w:val="center"/>
          </w:tcPr>
          <w:p>
            <w:r>
              <w:rPr>
                <w:rFonts w:hint="eastAsia"/>
              </w:rPr>
              <w:t>合同签订期：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851" w:type="dxa"/>
            <w:gridSpan w:val="8"/>
            <w:tcBorders>
              <w:top w:val="single" w:color="auto" w:sz="4" w:space="0"/>
              <w:left w:val="single" w:color="auto" w:sz="4" w:space="0"/>
              <w:bottom w:val="single" w:color="auto" w:sz="4" w:space="0"/>
              <w:right w:val="single" w:color="auto" w:sz="4" w:space="0"/>
            </w:tcBorders>
            <w:vAlign w:val="center"/>
          </w:tcPr>
          <w:p>
            <w:r>
              <w:rPr>
                <w:rFonts w:hint="eastAsia"/>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851" w:type="dxa"/>
            <w:gridSpan w:val="8"/>
            <w:tcBorders>
              <w:top w:val="single" w:color="auto" w:sz="4" w:space="0"/>
              <w:left w:val="single" w:color="auto" w:sz="4" w:space="0"/>
              <w:bottom w:val="single" w:color="auto" w:sz="4" w:space="0"/>
              <w:right w:val="single" w:color="auto" w:sz="4" w:space="0"/>
            </w:tcBorders>
            <w:vAlign w:val="center"/>
          </w:tcPr>
          <w:p>
            <w:r>
              <w:rPr>
                <w:rFonts w:hint="eastAsia"/>
              </w:rPr>
              <w:t>交货地点：</w:t>
            </w:r>
          </w:p>
        </w:tc>
      </w:tr>
    </w:tbl>
    <w:p>
      <w:pPr>
        <w:pStyle w:val="9"/>
      </w:pPr>
    </w:p>
    <w:p>
      <w:pPr>
        <w:pStyle w:val="9"/>
      </w:pPr>
    </w:p>
    <w:p>
      <w:pPr>
        <w:pStyle w:val="9"/>
      </w:pPr>
    </w:p>
    <w:p>
      <w:pPr>
        <w:pStyle w:val="9"/>
      </w:pPr>
      <w:r>
        <w:rPr>
          <w:rFonts w:hint="eastAsia"/>
          <w:u w:val="single"/>
        </w:rPr>
        <w:t>　　</w:t>
      </w:r>
      <w:r>
        <w:rPr>
          <w:rFonts w:hint="eastAsia"/>
        </w:rPr>
        <w:t>分标（有分标时填写）</w:t>
      </w:r>
    </w:p>
    <w:p>
      <w:pPr>
        <w:pStyle w:val="9"/>
      </w:pPr>
      <w:r>
        <w:rPr>
          <w:rFonts w:hint="eastAsia"/>
        </w:rPr>
        <w:t>......</w:t>
      </w:r>
    </w:p>
    <w:p>
      <w:pPr>
        <w:pStyle w:val="9"/>
      </w:pPr>
    </w:p>
    <w:p>
      <w:pPr>
        <w:pStyle w:val="9"/>
      </w:pPr>
    </w:p>
    <w:p>
      <w:pPr>
        <w:pStyle w:val="9"/>
      </w:pPr>
    </w:p>
    <w:p>
      <w:pPr>
        <w:pStyle w:val="9"/>
      </w:pPr>
    </w:p>
    <w:p>
      <w:pPr>
        <w:pStyle w:val="9"/>
        <w:spacing w:line="600" w:lineRule="exact"/>
        <w:rPr>
          <w:rFonts w:ascii="Times New Roman" w:hAnsi="Times New Roman"/>
          <w:u w:val="single"/>
        </w:rPr>
      </w:pPr>
      <w:r>
        <w:rPr>
          <w:rFonts w:hint="eastAsia" w:ascii="Times New Roman" w:hAnsi="Times New Roman"/>
        </w:rPr>
        <w:t>投标人（盖公司公章）：</w:t>
      </w:r>
    </w:p>
    <w:p>
      <w:pPr>
        <w:pStyle w:val="9"/>
        <w:spacing w:line="600" w:lineRule="exact"/>
        <w:rPr>
          <w:rFonts w:ascii="Times New Roman" w:hAnsi="Times New Roman"/>
          <w:u w:val="single"/>
        </w:rPr>
      </w:pPr>
    </w:p>
    <w:p>
      <w:pPr>
        <w:pStyle w:val="9"/>
        <w:spacing w:line="500" w:lineRule="exact"/>
        <w:rPr>
          <w:rFonts w:ascii="Times New Roman" w:hAnsi="Times New Roman"/>
          <w:u w:val="single"/>
        </w:rPr>
      </w:pPr>
      <w:r>
        <w:rPr>
          <w:rFonts w:hint="eastAsia" w:ascii="Times New Roman" w:hAnsi="Times New Roman"/>
        </w:rPr>
        <w:t>法定代表人或其委托代理人（签字或盖章）：</w:t>
      </w:r>
    </w:p>
    <w:p>
      <w:pPr>
        <w:pStyle w:val="9"/>
        <w:jc w:val="center"/>
        <w:rPr>
          <w:rFonts w:ascii="Times New Roman" w:hAnsi="Times New Roman"/>
          <w:b/>
          <w:bCs/>
          <w:sz w:val="30"/>
          <w:szCs w:val="30"/>
        </w:rPr>
      </w:pPr>
      <w:r>
        <w:rPr>
          <w:u w:val="single"/>
        </w:rPr>
        <w:br w:type="page"/>
      </w:r>
    </w:p>
    <w:p>
      <w:pPr>
        <w:pStyle w:val="9"/>
        <w:spacing w:line="500" w:lineRule="exact"/>
        <w:jc w:val="center"/>
        <w:rPr>
          <w:rFonts w:ascii="Times New Roman" w:hAnsi="Times New Roman"/>
          <w:b/>
          <w:bCs/>
          <w:sz w:val="30"/>
          <w:szCs w:val="30"/>
        </w:rPr>
      </w:pPr>
      <w:r>
        <w:rPr>
          <w:rFonts w:hint="eastAsia" w:ascii="Times New Roman" w:hAnsi="Times New Roman"/>
          <w:b/>
          <w:bCs/>
          <w:sz w:val="30"/>
          <w:szCs w:val="30"/>
        </w:rPr>
        <w:t>投标产品技术资料表（格式）</w:t>
      </w:r>
    </w:p>
    <w:p>
      <w:pPr>
        <w:pStyle w:val="9"/>
        <w:ind w:firstLine="210" w:firstLineChars="100"/>
        <w:rPr>
          <w:rFonts w:ascii="Times New Roman" w:hAnsi="Times New Roman"/>
        </w:rPr>
      </w:pPr>
    </w:p>
    <w:p>
      <w:pPr>
        <w:pStyle w:val="9"/>
        <w:rPr>
          <w:rFonts w:ascii="Times New Roman" w:hAnsi="Times New Roman"/>
        </w:rPr>
      </w:pPr>
      <w:r>
        <w:rPr>
          <w:rFonts w:hint="eastAsia" w:ascii="Times New Roman" w:hAnsi="Times New Roman"/>
        </w:rPr>
        <w:t>　　请根据所投产品的实际技术参数，逐条对应本项目招标文件第二章“货物需求一览表”中的“一、项目要求及技术需求”认真填写该表。“偏离说明”一栏选择“正偏离”、“负偏离”或“无偏离”进行填写。</w:t>
      </w:r>
    </w:p>
    <w:p>
      <w:pPr>
        <w:pStyle w:val="9"/>
        <w:rPr>
          <w:rFonts w:ascii="Times New Roman" w:hAnsi="Times New Roman"/>
          <w:u w:val="thick"/>
        </w:rPr>
      </w:pPr>
    </w:p>
    <w:p>
      <w:pPr>
        <w:pStyle w:val="9"/>
        <w:ind w:firstLine="420"/>
      </w:pPr>
      <w:r>
        <w:rPr>
          <w:rFonts w:hint="eastAsia" w:ascii="Times New Roman" w:hAnsi="Times New Roman"/>
        </w:rPr>
        <w:t>分标</w:t>
      </w:r>
      <w:r>
        <w:rPr>
          <w:rFonts w:hint="eastAsia"/>
        </w:rPr>
        <w:t>（有分标时填写）</w:t>
      </w:r>
    </w:p>
    <w:tbl>
      <w:tblPr>
        <w:tblStyle w:val="21"/>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735"/>
        <w:gridCol w:w="1575"/>
        <w:gridCol w:w="1017"/>
        <w:gridCol w:w="735"/>
        <w:gridCol w:w="1666"/>
        <w:gridCol w:w="139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34"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项号</w:t>
            </w:r>
          </w:p>
        </w:tc>
        <w:tc>
          <w:tcPr>
            <w:tcW w:w="3570"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招标文件需求</w:t>
            </w:r>
          </w:p>
        </w:tc>
        <w:tc>
          <w:tcPr>
            <w:tcW w:w="4813" w:type="dxa"/>
            <w:gridSpan w:val="4"/>
            <w:tcBorders>
              <w:top w:val="single" w:color="auto" w:sz="4" w:space="0"/>
              <w:left w:val="single" w:color="auto" w:sz="4" w:space="0"/>
              <w:bottom w:val="single" w:color="auto" w:sz="4" w:space="0"/>
              <w:right w:val="single" w:color="auto" w:sz="4" w:space="0"/>
            </w:tcBorders>
            <w:vAlign w:val="center"/>
          </w:tcPr>
          <w:p>
            <w:r>
              <w:rPr>
                <w:rFonts w:hint="eastAsia"/>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60" w:type="dxa"/>
            <w:tcBorders>
              <w:top w:val="single" w:color="auto" w:sz="4" w:space="0"/>
              <w:left w:val="single" w:color="auto" w:sz="4" w:space="0"/>
              <w:bottom w:val="single" w:color="auto" w:sz="4" w:space="0"/>
              <w:right w:val="single" w:color="auto" w:sz="4" w:space="0"/>
            </w:tcBorders>
            <w:vAlign w:val="center"/>
          </w:tcPr>
          <w:p>
            <w:r>
              <w:rPr>
                <w:rFonts w:hint="eastAsia"/>
              </w:rPr>
              <w:t>货物名称</w:t>
            </w:r>
          </w:p>
        </w:tc>
        <w:tc>
          <w:tcPr>
            <w:tcW w:w="735" w:type="dxa"/>
            <w:tcBorders>
              <w:top w:val="single" w:color="auto" w:sz="4" w:space="0"/>
              <w:left w:val="single" w:color="auto" w:sz="4" w:space="0"/>
              <w:bottom w:val="single" w:color="auto" w:sz="4" w:space="0"/>
              <w:right w:val="single" w:color="auto" w:sz="4" w:space="0"/>
            </w:tcBorders>
            <w:vAlign w:val="center"/>
          </w:tcPr>
          <w:p>
            <w:r>
              <w:rPr>
                <w:rFonts w:hint="eastAsia"/>
              </w:rPr>
              <w:t>数量</w:t>
            </w:r>
          </w:p>
        </w:tc>
        <w:tc>
          <w:tcPr>
            <w:tcW w:w="1575" w:type="dxa"/>
            <w:tcBorders>
              <w:top w:val="single" w:color="auto" w:sz="4" w:space="0"/>
              <w:left w:val="single" w:color="auto" w:sz="4" w:space="0"/>
              <w:bottom w:val="single" w:color="auto" w:sz="4" w:space="0"/>
              <w:right w:val="single" w:color="auto" w:sz="4" w:space="0"/>
            </w:tcBorders>
            <w:vAlign w:val="center"/>
          </w:tcPr>
          <w:p>
            <w:r>
              <w:rPr>
                <w:rFonts w:hint="eastAsia"/>
              </w:rPr>
              <w:t>技术参数要求</w:t>
            </w:r>
          </w:p>
        </w:tc>
        <w:tc>
          <w:tcPr>
            <w:tcW w:w="1017" w:type="dxa"/>
            <w:tcBorders>
              <w:top w:val="single" w:color="auto" w:sz="4" w:space="0"/>
              <w:left w:val="single" w:color="auto" w:sz="4" w:space="0"/>
              <w:bottom w:val="single" w:color="auto" w:sz="4" w:space="0"/>
              <w:right w:val="single" w:color="auto" w:sz="4" w:space="0"/>
            </w:tcBorders>
            <w:vAlign w:val="center"/>
          </w:tcPr>
          <w:p>
            <w:r>
              <w:rPr>
                <w:rFonts w:hint="eastAsia"/>
              </w:rPr>
              <w:t>货物名称</w:t>
            </w:r>
          </w:p>
        </w:tc>
        <w:tc>
          <w:tcPr>
            <w:tcW w:w="735" w:type="dxa"/>
            <w:tcBorders>
              <w:top w:val="single" w:color="auto" w:sz="4" w:space="0"/>
              <w:left w:val="single" w:color="auto" w:sz="4" w:space="0"/>
              <w:bottom w:val="single" w:color="auto" w:sz="4" w:space="0"/>
              <w:right w:val="single" w:color="auto" w:sz="4" w:space="0"/>
            </w:tcBorders>
            <w:vAlign w:val="center"/>
          </w:tcPr>
          <w:p>
            <w:r>
              <w:rPr>
                <w:rFonts w:hint="eastAsia"/>
              </w:rPr>
              <w:t>数量</w:t>
            </w:r>
          </w:p>
        </w:tc>
        <w:tc>
          <w:tcPr>
            <w:tcW w:w="1666" w:type="dxa"/>
            <w:tcBorders>
              <w:top w:val="single" w:color="auto" w:sz="4" w:space="0"/>
              <w:left w:val="single" w:color="auto" w:sz="4" w:space="0"/>
              <w:bottom w:val="single" w:color="auto" w:sz="4" w:space="0"/>
              <w:right w:val="single" w:color="auto" w:sz="4" w:space="0"/>
            </w:tcBorders>
            <w:vAlign w:val="center"/>
          </w:tcPr>
          <w:p>
            <w:r>
              <w:rPr>
                <w:rFonts w:hint="eastAsia"/>
              </w:rPr>
              <w:t>品牌、厂家、型号、规格</w:t>
            </w:r>
          </w:p>
        </w:tc>
        <w:tc>
          <w:tcPr>
            <w:tcW w:w="1395" w:type="dxa"/>
            <w:tcBorders>
              <w:top w:val="single" w:color="auto" w:sz="4" w:space="0"/>
              <w:left w:val="single" w:color="auto" w:sz="4" w:space="0"/>
              <w:bottom w:val="single" w:color="auto" w:sz="4" w:space="0"/>
              <w:right w:val="single" w:color="auto" w:sz="4" w:space="0"/>
            </w:tcBorders>
            <w:vAlign w:val="center"/>
          </w:tcPr>
          <w:p>
            <w:r>
              <w:rPr>
                <w:rFonts w:hint="eastAsia"/>
              </w:rPr>
              <w:t>技术参数</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center"/>
          </w:tcPr>
          <w:p>
            <w:r>
              <w:t>1</w:t>
            </w:r>
          </w:p>
        </w:tc>
        <w:tc>
          <w:tcPr>
            <w:tcW w:w="1260" w:type="dxa"/>
            <w:tcBorders>
              <w:top w:val="single" w:color="auto" w:sz="4" w:space="0"/>
              <w:left w:val="single" w:color="auto" w:sz="4" w:space="0"/>
              <w:bottom w:val="single" w:color="auto" w:sz="4" w:space="0"/>
              <w:right w:val="single" w:color="auto" w:sz="4" w:space="0"/>
            </w:tcBorders>
            <w:vAlign w:val="center"/>
          </w:tcPr>
          <w:p/>
        </w:tc>
        <w:tc>
          <w:tcPr>
            <w:tcW w:w="735" w:type="dxa"/>
            <w:tcBorders>
              <w:top w:val="single" w:color="auto" w:sz="4" w:space="0"/>
              <w:left w:val="single" w:color="auto" w:sz="4" w:space="0"/>
              <w:bottom w:val="single" w:color="auto" w:sz="4" w:space="0"/>
              <w:right w:val="single" w:color="auto" w:sz="4" w:space="0"/>
            </w:tcBorders>
            <w:vAlign w:val="center"/>
          </w:tcPr>
          <w:p/>
        </w:tc>
        <w:tc>
          <w:tcPr>
            <w:tcW w:w="1575" w:type="dxa"/>
            <w:tcBorders>
              <w:top w:val="single" w:color="auto" w:sz="4" w:space="0"/>
              <w:left w:val="single" w:color="auto" w:sz="4" w:space="0"/>
              <w:bottom w:val="single" w:color="auto" w:sz="4" w:space="0"/>
              <w:right w:val="single" w:color="auto" w:sz="4" w:space="0"/>
            </w:tcBorders>
            <w:vAlign w:val="center"/>
          </w:tcPr>
          <w:p/>
        </w:tc>
        <w:tc>
          <w:tcPr>
            <w:tcW w:w="1017" w:type="dxa"/>
            <w:tcBorders>
              <w:top w:val="single" w:color="auto" w:sz="4" w:space="0"/>
              <w:left w:val="single" w:color="auto" w:sz="4" w:space="0"/>
              <w:bottom w:val="single" w:color="auto" w:sz="4" w:space="0"/>
              <w:right w:val="single" w:color="auto" w:sz="4" w:space="0"/>
            </w:tcBorders>
            <w:vAlign w:val="center"/>
          </w:tcPr>
          <w:p/>
        </w:tc>
        <w:tc>
          <w:tcPr>
            <w:tcW w:w="735" w:type="dxa"/>
            <w:tcBorders>
              <w:top w:val="single" w:color="auto" w:sz="4" w:space="0"/>
              <w:left w:val="single" w:color="auto" w:sz="4" w:space="0"/>
              <w:bottom w:val="single" w:color="auto" w:sz="4" w:space="0"/>
              <w:right w:val="single" w:color="auto" w:sz="4" w:space="0"/>
            </w:tcBorders>
            <w:vAlign w:val="center"/>
          </w:tcPr>
          <w:p/>
        </w:tc>
        <w:tc>
          <w:tcPr>
            <w:tcW w:w="1666" w:type="dxa"/>
            <w:tcBorders>
              <w:top w:val="single" w:color="auto" w:sz="4" w:space="0"/>
              <w:left w:val="single" w:color="auto" w:sz="4" w:space="0"/>
              <w:bottom w:val="single" w:color="auto" w:sz="4" w:space="0"/>
              <w:right w:val="single" w:color="auto" w:sz="4" w:space="0"/>
            </w:tcBorders>
            <w:vAlign w:val="center"/>
          </w:tcPr>
          <w:p/>
        </w:tc>
        <w:tc>
          <w:tcPr>
            <w:tcW w:w="1395" w:type="dxa"/>
            <w:tcBorders>
              <w:top w:val="single" w:color="auto" w:sz="4" w:space="0"/>
              <w:left w:val="single" w:color="auto" w:sz="4" w:space="0"/>
              <w:bottom w:val="single" w:color="auto" w:sz="4" w:space="0"/>
              <w:right w:val="single" w:color="auto" w:sz="4" w:space="0"/>
            </w:tcBorders>
            <w:vAlign w:val="center"/>
          </w:tcPr>
          <w:p/>
        </w:tc>
        <w:tc>
          <w:tcPr>
            <w:tcW w:w="116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center"/>
          </w:tcPr>
          <w:p>
            <w:r>
              <w:t>2</w:t>
            </w:r>
          </w:p>
        </w:tc>
        <w:tc>
          <w:tcPr>
            <w:tcW w:w="1260" w:type="dxa"/>
            <w:tcBorders>
              <w:top w:val="single" w:color="auto" w:sz="4" w:space="0"/>
              <w:left w:val="single" w:color="auto" w:sz="4" w:space="0"/>
              <w:bottom w:val="single" w:color="auto" w:sz="4" w:space="0"/>
              <w:right w:val="single" w:color="auto" w:sz="4" w:space="0"/>
            </w:tcBorders>
            <w:vAlign w:val="center"/>
          </w:tcPr>
          <w:p/>
        </w:tc>
        <w:tc>
          <w:tcPr>
            <w:tcW w:w="735" w:type="dxa"/>
            <w:tcBorders>
              <w:top w:val="single" w:color="auto" w:sz="4" w:space="0"/>
              <w:left w:val="single" w:color="auto" w:sz="4" w:space="0"/>
              <w:bottom w:val="single" w:color="auto" w:sz="4" w:space="0"/>
              <w:right w:val="single" w:color="auto" w:sz="4" w:space="0"/>
            </w:tcBorders>
            <w:vAlign w:val="center"/>
          </w:tcPr>
          <w:p/>
        </w:tc>
        <w:tc>
          <w:tcPr>
            <w:tcW w:w="1575" w:type="dxa"/>
            <w:tcBorders>
              <w:top w:val="single" w:color="auto" w:sz="4" w:space="0"/>
              <w:left w:val="single" w:color="auto" w:sz="4" w:space="0"/>
              <w:bottom w:val="single" w:color="auto" w:sz="4" w:space="0"/>
              <w:right w:val="single" w:color="auto" w:sz="4" w:space="0"/>
            </w:tcBorders>
            <w:vAlign w:val="center"/>
          </w:tcPr>
          <w:p/>
        </w:tc>
        <w:tc>
          <w:tcPr>
            <w:tcW w:w="1017" w:type="dxa"/>
            <w:tcBorders>
              <w:top w:val="single" w:color="auto" w:sz="4" w:space="0"/>
              <w:left w:val="single" w:color="auto" w:sz="4" w:space="0"/>
              <w:bottom w:val="single" w:color="auto" w:sz="4" w:space="0"/>
              <w:right w:val="single" w:color="auto" w:sz="4" w:space="0"/>
            </w:tcBorders>
            <w:vAlign w:val="center"/>
          </w:tcPr>
          <w:p/>
        </w:tc>
        <w:tc>
          <w:tcPr>
            <w:tcW w:w="735" w:type="dxa"/>
            <w:tcBorders>
              <w:top w:val="single" w:color="auto" w:sz="4" w:space="0"/>
              <w:left w:val="single" w:color="auto" w:sz="4" w:space="0"/>
              <w:bottom w:val="single" w:color="auto" w:sz="4" w:space="0"/>
              <w:right w:val="single" w:color="auto" w:sz="4" w:space="0"/>
            </w:tcBorders>
            <w:vAlign w:val="center"/>
          </w:tcPr>
          <w:p/>
        </w:tc>
        <w:tc>
          <w:tcPr>
            <w:tcW w:w="1666" w:type="dxa"/>
            <w:tcBorders>
              <w:top w:val="single" w:color="auto" w:sz="4" w:space="0"/>
              <w:left w:val="single" w:color="auto" w:sz="4" w:space="0"/>
              <w:bottom w:val="single" w:color="auto" w:sz="4" w:space="0"/>
              <w:right w:val="single" w:color="auto" w:sz="4" w:space="0"/>
            </w:tcBorders>
            <w:vAlign w:val="center"/>
          </w:tcPr>
          <w:p/>
        </w:tc>
        <w:tc>
          <w:tcPr>
            <w:tcW w:w="1395" w:type="dxa"/>
            <w:tcBorders>
              <w:top w:val="single" w:color="auto" w:sz="4" w:space="0"/>
              <w:left w:val="single" w:color="auto" w:sz="4" w:space="0"/>
              <w:bottom w:val="single" w:color="auto" w:sz="4" w:space="0"/>
              <w:right w:val="single" w:color="auto" w:sz="4" w:space="0"/>
            </w:tcBorders>
            <w:vAlign w:val="center"/>
          </w:tcPr>
          <w:p/>
        </w:tc>
        <w:tc>
          <w:tcPr>
            <w:tcW w:w="116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center"/>
          </w:tcPr>
          <w:p>
            <w:r>
              <w:t>...</w:t>
            </w:r>
          </w:p>
        </w:tc>
        <w:tc>
          <w:tcPr>
            <w:tcW w:w="1260" w:type="dxa"/>
            <w:tcBorders>
              <w:top w:val="single" w:color="auto" w:sz="4" w:space="0"/>
              <w:left w:val="single" w:color="auto" w:sz="4" w:space="0"/>
              <w:bottom w:val="single" w:color="auto" w:sz="4" w:space="0"/>
              <w:right w:val="single" w:color="auto" w:sz="4" w:space="0"/>
            </w:tcBorders>
            <w:vAlign w:val="center"/>
          </w:tcPr>
          <w:p/>
        </w:tc>
        <w:tc>
          <w:tcPr>
            <w:tcW w:w="735" w:type="dxa"/>
            <w:tcBorders>
              <w:top w:val="single" w:color="auto" w:sz="4" w:space="0"/>
              <w:left w:val="single" w:color="auto" w:sz="4" w:space="0"/>
              <w:bottom w:val="single" w:color="auto" w:sz="4" w:space="0"/>
              <w:right w:val="single" w:color="auto" w:sz="4" w:space="0"/>
            </w:tcBorders>
            <w:vAlign w:val="center"/>
          </w:tcPr>
          <w:p/>
        </w:tc>
        <w:tc>
          <w:tcPr>
            <w:tcW w:w="1575" w:type="dxa"/>
            <w:tcBorders>
              <w:top w:val="single" w:color="auto" w:sz="4" w:space="0"/>
              <w:left w:val="single" w:color="auto" w:sz="4" w:space="0"/>
              <w:bottom w:val="single" w:color="auto" w:sz="4" w:space="0"/>
              <w:right w:val="single" w:color="auto" w:sz="4" w:space="0"/>
            </w:tcBorders>
            <w:vAlign w:val="center"/>
          </w:tcPr>
          <w:p/>
        </w:tc>
        <w:tc>
          <w:tcPr>
            <w:tcW w:w="1017" w:type="dxa"/>
            <w:tcBorders>
              <w:top w:val="single" w:color="auto" w:sz="4" w:space="0"/>
              <w:left w:val="single" w:color="auto" w:sz="4" w:space="0"/>
              <w:bottom w:val="single" w:color="auto" w:sz="4" w:space="0"/>
              <w:right w:val="single" w:color="auto" w:sz="4" w:space="0"/>
            </w:tcBorders>
            <w:vAlign w:val="center"/>
          </w:tcPr>
          <w:p/>
        </w:tc>
        <w:tc>
          <w:tcPr>
            <w:tcW w:w="735" w:type="dxa"/>
            <w:tcBorders>
              <w:top w:val="single" w:color="auto" w:sz="4" w:space="0"/>
              <w:left w:val="single" w:color="auto" w:sz="4" w:space="0"/>
              <w:bottom w:val="single" w:color="auto" w:sz="4" w:space="0"/>
              <w:right w:val="single" w:color="auto" w:sz="4" w:space="0"/>
            </w:tcBorders>
            <w:vAlign w:val="center"/>
          </w:tcPr>
          <w:p/>
        </w:tc>
        <w:tc>
          <w:tcPr>
            <w:tcW w:w="1666" w:type="dxa"/>
            <w:tcBorders>
              <w:top w:val="single" w:color="auto" w:sz="4" w:space="0"/>
              <w:left w:val="single" w:color="auto" w:sz="4" w:space="0"/>
              <w:bottom w:val="single" w:color="auto" w:sz="4" w:space="0"/>
              <w:right w:val="single" w:color="auto" w:sz="4" w:space="0"/>
            </w:tcBorders>
            <w:vAlign w:val="center"/>
          </w:tcPr>
          <w:p/>
        </w:tc>
        <w:tc>
          <w:tcPr>
            <w:tcW w:w="1395" w:type="dxa"/>
            <w:tcBorders>
              <w:top w:val="single" w:color="auto" w:sz="4" w:space="0"/>
              <w:left w:val="single" w:color="auto" w:sz="4" w:space="0"/>
              <w:bottom w:val="single" w:color="auto" w:sz="4" w:space="0"/>
              <w:right w:val="single" w:color="auto" w:sz="4" w:space="0"/>
            </w:tcBorders>
            <w:vAlign w:val="center"/>
          </w:tcPr>
          <w:p/>
        </w:tc>
        <w:tc>
          <w:tcPr>
            <w:tcW w:w="1168" w:type="dxa"/>
            <w:tcBorders>
              <w:top w:val="single" w:color="auto" w:sz="4" w:space="0"/>
              <w:left w:val="single" w:color="auto" w:sz="4" w:space="0"/>
              <w:bottom w:val="single" w:color="auto" w:sz="4" w:space="0"/>
              <w:right w:val="single" w:color="auto" w:sz="4" w:space="0"/>
            </w:tcBorders>
            <w:vAlign w:val="center"/>
          </w:tcPr>
          <w:p/>
        </w:tc>
      </w:tr>
    </w:tbl>
    <w:p>
      <w:pPr>
        <w:pStyle w:val="9"/>
        <w:ind w:firstLine="420"/>
        <w:rPr>
          <w:rFonts w:ascii="Times New Roman" w:hAnsi="Times New Roman"/>
        </w:rPr>
      </w:pPr>
    </w:p>
    <w:p>
      <w:pPr>
        <w:pStyle w:val="9"/>
      </w:pPr>
    </w:p>
    <w:p>
      <w:pPr>
        <w:pStyle w:val="9"/>
      </w:pPr>
      <w:r>
        <w:rPr>
          <w:rFonts w:hint="eastAsia" w:ascii="Times New Roman" w:hAnsi="Times New Roman"/>
          <w:u w:val="single"/>
        </w:rPr>
        <w:t>　　</w:t>
      </w:r>
      <w:r>
        <w:rPr>
          <w:rFonts w:hint="eastAsia" w:ascii="Times New Roman" w:hAnsi="Times New Roman"/>
        </w:rPr>
        <w:t>分标</w:t>
      </w:r>
      <w:r>
        <w:rPr>
          <w:rFonts w:hint="eastAsia"/>
        </w:rPr>
        <w:t>（有分标时填写）</w:t>
      </w:r>
    </w:p>
    <w:p>
      <w:pPr>
        <w:pStyle w:val="9"/>
      </w:pPr>
      <w:r>
        <w:rPr>
          <w:rFonts w:hint="eastAsia"/>
        </w:rPr>
        <w:t>......</w:t>
      </w:r>
    </w:p>
    <w:p>
      <w:pPr>
        <w:pStyle w:val="9"/>
        <w:spacing w:line="600" w:lineRule="exact"/>
        <w:rPr>
          <w:rFonts w:ascii="Times New Roman" w:hAnsi="Times New Roman"/>
        </w:rPr>
      </w:pPr>
    </w:p>
    <w:p>
      <w:pPr>
        <w:pStyle w:val="9"/>
        <w:spacing w:line="600" w:lineRule="exact"/>
        <w:rPr>
          <w:rFonts w:ascii="Times New Roman" w:hAnsi="Times New Roman"/>
          <w:u w:val="single"/>
        </w:rPr>
      </w:pPr>
      <w:r>
        <w:rPr>
          <w:rFonts w:hint="eastAsia" w:ascii="Times New Roman" w:hAnsi="Times New Roman"/>
        </w:rPr>
        <w:t>投标人（盖公司公章）：</w:t>
      </w:r>
    </w:p>
    <w:p>
      <w:pPr>
        <w:pStyle w:val="9"/>
        <w:spacing w:line="600" w:lineRule="exact"/>
        <w:jc w:val="left"/>
        <w:rPr>
          <w:rFonts w:ascii="Times New Roman" w:hAnsi="Times New Roman"/>
          <w:u w:val="single"/>
        </w:rPr>
      </w:pPr>
      <w:r>
        <w:rPr>
          <w:rFonts w:hint="eastAsia" w:ascii="Times New Roman" w:hAnsi="Times New Roman"/>
        </w:rPr>
        <w:t>法定代表人或其委托代理人（签字或盖章）：</w:t>
      </w:r>
    </w:p>
    <w:p>
      <w:pPr>
        <w:pStyle w:val="9"/>
        <w:spacing w:line="600" w:lineRule="exact"/>
        <w:jc w:val="center"/>
        <w:rPr>
          <w:rFonts w:ascii="Times New Roman" w:hAnsi="Times New Roman"/>
          <w:b/>
          <w:bCs/>
          <w:sz w:val="30"/>
          <w:szCs w:val="30"/>
        </w:rPr>
      </w:pPr>
      <w:r>
        <w:rPr>
          <w:rFonts w:hint="eastAsia"/>
        </w:rPr>
        <w:br w:type="page"/>
      </w:r>
      <w:r>
        <w:rPr>
          <w:rFonts w:hint="eastAsia" w:ascii="Times New Roman" w:hAnsi="Times New Roman"/>
          <w:b/>
          <w:bCs/>
          <w:sz w:val="30"/>
          <w:szCs w:val="30"/>
        </w:rPr>
        <w:t>售后服务承诺书（格式）</w:t>
      </w:r>
    </w:p>
    <w:p>
      <w:pPr>
        <w:pStyle w:val="9"/>
        <w:jc w:val="center"/>
      </w:pPr>
    </w:p>
    <w:p>
      <w:pPr>
        <w:pStyle w:val="9"/>
        <w:jc w:val="center"/>
      </w:pPr>
      <w:r>
        <w:rPr>
          <w:rFonts w:hint="eastAsia"/>
        </w:rPr>
        <w:t>(由投标人按本项目招标文件第二章“货物需求一览表”中“二、商务条款”的售后服务要求自行填写。)</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spacing w:line="600" w:lineRule="exact"/>
        <w:rPr>
          <w:rFonts w:ascii="Times New Roman" w:hAnsi="Times New Roman"/>
          <w:u w:val="single"/>
        </w:rPr>
      </w:pPr>
      <w:r>
        <w:rPr>
          <w:rFonts w:hint="eastAsia" w:ascii="Times New Roman" w:hAnsi="Times New Roman"/>
        </w:rPr>
        <w:t>投标人（盖公司公章）：</w:t>
      </w:r>
    </w:p>
    <w:p>
      <w:pPr>
        <w:pStyle w:val="9"/>
        <w:spacing w:line="600" w:lineRule="exact"/>
        <w:rPr>
          <w:rFonts w:ascii="Times New Roman" w:hAnsi="Times New Roman"/>
          <w:u w:val="single"/>
        </w:rPr>
      </w:pPr>
    </w:p>
    <w:p>
      <w:pPr>
        <w:pStyle w:val="9"/>
        <w:spacing w:line="600" w:lineRule="exact"/>
        <w:rPr>
          <w:rFonts w:ascii="Times New Roman" w:hAnsi="Times New Roman"/>
          <w:u w:val="single"/>
        </w:rPr>
      </w:pPr>
      <w:r>
        <w:rPr>
          <w:rFonts w:hint="eastAsia" w:ascii="Times New Roman" w:hAnsi="Times New Roman"/>
        </w:rPr>
        <w:t>法定代表人或其委托代理人（签字或盖章）：</w:t>
      </w:r>
    </w:p>
    <w:p>
      <w:pPr>
        <w:pStyle w:val="9"/>
        <w:spacing w:line="600" w:lineRule="exact"/>
        <w:jc w:val="center"/>
        <w:rPr>
          <w:rFonts w:ascii="Times New Roman" w:hAnsi="Times New Roman"/>
          <w:b/>
          <w:bCs/>
          <w:sz w:val="30"/>
          <w:szCs w:val="30"/>
        </w:rPr>
      </w:pPr>
      <w:r>
        <w:rPr>
          <w:rFonts w:hint="eastAsia"/>
          <w:b/>
          <w:bCs/>
          <w:sz w:val="30"/>
        </w:rPr>
        <w:br w:type="page"/>
      </w:r>
      <w:r>
        <w:rPr>
          <w:rFonts w:hint="eastAsia" w:ascii="Times New Roman" w:hAnsi="Times New Roman"/>
          <w:b/>
          <w:bCs/>
          <w:sz w:val="30"/>
          <w:szCs w:val="30"/>
        </w:rPr>
        <w:t>商务条款偏离表（格式）</w:t>
      </w:r>
    </w:p>
    <w:p>
      <w:pPr>
        <w:pStyle w:val="9"/>
        <w:spacing w:line="400" w:lineRule="exact"/>
        <w:rPr>
          <w:rFonts w:ascii="Times New Roman" w:hAnsi="Times New Roman"/>
          <w:u w:val="thick"/>
        </w:rPr>
      </w:pPr>
    </w:p>
    <w:p>
      <w:pPr>
        <w:pStyle w:val="9"/>
        <w:rPr>
          <w:rFonts w:ascii="Times New Roman" w:hAnsi="Times New Roman"/>
        </w:rPr>
      </w:pPr>
      <w:r>
        <w:rPr>
          <w:rFonts w:hint="eastAsia" w:ascii="Times New Roman" w:hAnsi="Times New Roman"/>
        </w:rPr>
        <w:t>　　请逐条对应本项目招标文件第二章“货物需求一览表”中“商务条款”的要求，认真填写该表。“偏离说明”一栏选择“正偏离”、“负偏离”或“无偏离”进行填写。</w:t>
      </w:r>
    </w:p>
    <w:p>
      <w:pPr>
        <w:pStyle w:val="9"/>
        <w:rPr>
          <w:u w:val="single"/>
        </w:rPr>
      </w:pPr>
    </w:p>
    <w:p>
      <w:pPr>
        <w:pStyle w:val="9"/>
        <w:rPr>
          <w:rFonts w:ascii="Times New Roman" w:hAnsi="Times New Roman"/>
        </w:rPr>
      </w:pPr>
      <w:r>
        <w:rPr>
          <w:rFonts w:hint="eastAsia" w:ascii="Times New Roman" w:hAnsi="Times New Roman"/>
          <w:u w:val="single"/>
        </w:rPr>
        <w:t>　　</w:t>
      </w:r>
      <w:r>
        <w:rPr>
          <w:rFonts w:hint="eastAsia" w:ascii="Times New Roman" w:hAnsi="Times New Roman"/>
        </w:rPr>
        <w:t>分标</w:t>
      </w:r>
      <w:r>
        <w:rPr>
          <w:rFonts w:hint="eastAsia"/>
        </w:rPr>
        <w:t>（有分标时填写）</w:t>
      </w:r>
    </w:p>
    <w:tbl>
      <w:tblPr>
        <w:tblStyle w:val="2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071"/>
        <w:gridCol w:w="39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pPr>
              <w:pStyle w:val="9"/>
              <w:spacing w:line="600" w:lineRule="exact"/>
              <w:jc w:val="center"/>
              <w:rPr>
                <w:rFonts w:ascii="Times New Roman" w:hAnsi="Times New Roman"/>
                <w:szCs w:val="24"/>
              </w:rPr>
            </w:pPr>
            <w:r>
              <w:rPr>
                <w:rFonts w:hint="eastAsia" w:ascii="Times New Roman" w:hAnsi="Times New Roman"/>
                <w:szCs w:val="24"/>
              </w:rPr>
              <w:t>项号</w:t>
            </w:r>
          </w:p>
        </w:tc>
        <w:tc>
          <w:tcPr>
            <w:tcW w:w="4071" w:type="dxa"/>
            <w:tcBorders>
              <w:top w:val="single" w:color="auto" w:sz="4" w:space="0"/>
              <w:left w:val="single" w:color="auto" w:sz="4" w:space="0"/>
              <w:bottom w:val="single" w:color="auto" w:sz="4" w:space="0"/>
              <w:right w:val="single" w:color="auto" w:sz="4" w:space="0"/>
            </w:tcBorders>
            <w:vAlign w:val="center"/>
          </w:tcPr>
          <w:p>
            <w:pPr>
              <w:pStyle w:val="9"/>
              <w:spacing w:line="600" w:lineRule="exact"/>
              <w:jc w:val="center"/>
              <w:rPr>
                <w:rFonts w:ascii="Times New Roman" w:hAnsi="Times New Roman"/>
                <w:szCs w:val="24"/>
              </w:rPr>
            </w:pPr>
            <w:r>
              <w:rPr>
                <w:rFonts w:hint="eastAsia" w:ascii="Times New Roman" w:hAnsi="Times New Roman"/>
                <w:szCs w:val="24"/>
              </w:rPr>
              <w:t>招标文件的商务需求</w:t>
            </w:r>
          </w:p>
        </w:tc>
        <w:tc>
          <w:tcPr>
            <w:tcW w:w="3960" w:type="dxa"/>
            <w:tcBorders>
              <w:top w:val="single" w:color="auto" w:sz="4" w:space="0"/>
              <w:left w:val="single" w:color="auto" w:sz="4" w:space="0"/>
              <w:bottom w:val="single" w:color="auto" w:sz="4" w:space="0"/>
              <w:right w:val="single" w:color="auto" w:sz="4" w:space="0"/>
            </w:tcBorders>
            <w:vAlign w:val="center"/>
          </w:tcPr>
          <w:p>
            <w:pPr>
              <w:pStyle w:val="9"/>
              <w:spacing w:line="600" w:lineRule="exact"/>
              <w:jc w:val="center"/>
              <w:rPr>
                <w:rFonts w:ascii="Times New Roman" w:hAnsi="Times New Roman"/>
                <w:szCs w:val="24"/>
              </w:rPr>
            </w:pPr>
            <w:r>
              <w:rPr>
                <w:rFonts w:hint="eastAsia" w:ascii="Times New Roman" w:hAnsi="Times New Roman"/>
                <w:szCs w:val="24"/>
              </w:rPr>
              <w:t>投标文件承诺的商务条款</w:t>
            </w:r>
          </w:p>
        </w:tc>
        <w:tc>
          <w:tcPr>
            <w:tcW w:w="1080" w:type="dxa"/>
            <w:tcBorders>
              <w:top w:val="single" w:color="auto" w:sz="4" w:space="0"/>
              <w:left w:val="single" w:color="auto" w:sz="4" w:space="0"/>
              <w:bottom w:val="single" w:color="auto" w:sz="4" w:space="0"/>
              <w:right w:val="single" w:color="auto" w:sz="4" w:space="0"/>
            </w:tcBorders>
            <w:vAlign w:val="center"/>
          </w:tcPr>
          <w:p>
            <w:pPr>
              <w:pStyle w:val="9"/>
              <w:spacing w:line="600" w:lineRule="exact"/>
              <w:jc w:val="center"/>
              <w:rPr>
                <w:rFonts w:ascii="Times New Roman" w:hAnsi="Times New Roman"/>
                <w:szCs w:val="24"/>
              </w:rPr>
            </w:pPr>
            <w:r>
              <w:rPr>
                <w:rFonts w:hint="eastAsia" w:ascii="Times New Roman" w:hAnsi="Times New Roman"/>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4071"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396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c>
          <w:tcPr>
            <w:tcW w:w="1080" w:type="dxa"/>
            <w:tcBorders>
              <w:top w:val="single" w:color="auto" w:sz="4" w:space="0"/>
              <w:left w:val="single" w:color="auto" w:sz="4" w:space="0"/>
              <w:bottom w:val="single" w:color="auto" w:sz="4" w:space="0"/>
              <w:right w:val="single" w:color="auto" w:sz="4" w:space="0"/>
            </w:tcBorders>
          </w:tcPr>
          <w:p>
            <w:pPr>
              <w:pStyle w:val="9"/>
              <w:spacing w:line="600" w:lineRule="exact"/>
              <w:rPr>
                <w:rFonts w:ascii="Times New Roman" w:hAnsi="Times New Roman"/>
                <w:szCs w:val="24"/>
              </w:rPr>
            </w:pPr>
          </w:p>
        </w:tc>
      </w:tr>
    </w:tbl>
    <w:p>
      <w:pPr>
        <w:pStyle w:val="9"/>
        <w:spacing w:line="600" w:lineRule="exact"/>
        <w:rPr>
          <w:rFonts w:ascii="Times New Roman" w:hAnsi="Times New Roman"/>
        </w:rPr>
      </w:pPr>
      <w:r>
        <w:rPr>
          <w:rFonts w:hint="eastAsia" w:ascii="Times New Roman" w:hAnsi="Times New Roman"/>
          <w:u w:val="single"/>
        </w:rPr>
        <w:t>　　</w:t>
      </w:r>
      <w:r>
        <w:rPr>
          <w:rFonts w:hint="eastAsia" w:ascii="Times New Roman" w:hAnsi="Times New Roman"/>
        </w:rPr>
        <w:t>分标</w:t>
      </w:r>
      <w:r>
        <w:rPr>
          <w:rFonts w:hint="eastAsia"/>
        </w:rPr>
        <w:t>（有分标时填写）</w:t>
      </w:r>
    </w:p>
    <w:p>
      <w:pPr>
        <w:pStyle w:val="9"/>
      </w:pPr>
      <w:r>
        <w:rPr>
          <w:rFonts w:hint="eastAsia"/>
        </w:rPr>
        <w:t>......</w:t>
      </w:r>
    </w:p>
    <w:p>
      <w:pPr>
        <w:pStyle w:val="9"/>
        <w:spacing w:line="600" w:lineRule="exact"/>
        <w:rPr>
          <w:rFonts w:ascii="Times New Roman" w:hAnsi="Times New Roman"/>
        </w:rPr>
      </w:pPr>
    </w:p>
    <w:p>
      <w:pPr>
        <w:pStyle w:val="9"/>
        <w:spacing w:line="600" w:lineRule="exact"/>
        <w:rPr>
          <w:rFonts w:ascii="Times New Roman" w:hAnsi="Times New Roman"/>
        </w:rPr>
      </w:pPr>
    </w:p>
    <w:p>
      <w:pPr>
        <w:pStyle w:val="9"/>
        <w:spacing w:line="600" w:lineRule="exact"/>
        <w:rPr>
          <w:rFonts w:ascii="Times New Roman" w:hAnsi="Times New Roman"/>
          <w:u w:val="single"/>
        </w:rPr>
      </w:pPr>
      <w:r>
        <w:rPr>
          <w:rFonts w:hint="eastAsia" w:ascii="Times New Roman" w:hAnsi="Times New Roman"/>
        </w:rPr>
        <w:t>投标人（盖公司公章）：</w:t>
      </w:r>
    </w:p>
    <w:p>
      <w:pPr>
        <w:pStyle w:val="9"/>
        <w:spacing w:line="600" w:lineRule="exact"/>
        <w:rPr>
          <w:rFonts w:ascii="Times New Roman" w:hAnsi="Times New Roman"/>
          <w:u w:val="single"/>
        </w:rPr>
      </w:pPr>
    </w:p>
    <w:p>
      <w:pPr>
        <w:pStyle w:val="9"/>
        <w:spacing w:line="600" w:lineRule="exact"/>
        <w:rPr>
          <w:rFonts w:ascii="Times New Roman" w:hAnsi="Times New Roman"/>
          <w:u w:val="single"/>
        </w:rPr>
      </w:pPr>
      <w:r>
        <w:rPr>
          <w:rFonts w:hint="eastAsia" w:ascii="Times New Roman" w:hAnsi="Times New Roman"/>
        </w:rPr>
        <w:t>法定代表人或其委托代理人（签字或盖章）：</w:t>
      </w:r>
    </w:p>
    <w:p>
      <w:pPr>
        <w:pStyle w:val="9"/>
        <w:spacing w:line="600" w:lineRule="exact"/>
        <w:jc w:val="center"/>
        <w:rPr>
          <w:rFonts w:ascii="Times New Roman" w:hAnsi="Times New Roman"/>
          <w:b/>
          <w:bCs/>
          <w:sz w:val="30"/>
          <w:szCs w:val="30"/>
        </w:rPr>
      </w:pPr>
      <w:r>
        <w:rPr>
          <w:rFonts w:hint="eastAsia"/>
          <w:b/>
          <w:sz w:val="32"/>
        </w:rPr>
        <w:br w:type="page"/>
      </w:r>
      <w:r>
        <w:rPr>
          <w:rFonts w:hint="eastAsia" w:ascii="Times New Roman" w:hAnsi="Times New Roman"/>
          <w:b/>
          <w:bCs/>
          <w:sz w:val="30"/>
          <w:szCs w:val="30"/>
        </w:rPr>
        <w:t>法定代表人授权委托书（格式）</w:t>
      </w:r>
    </w:p>
    <w:p>
      <w:pPr>
        <w:pStyle w:val="9"/>
        <w:spacing w:line="500" w:lineRule="exact"/>
        <w:ind w:firstLine="420" w:firstLineChars="200"/>
        <w:rPr>
          <w:rFonts w:ascii="Times New Roman" w:hAnsi="Times New Roman"/>
          <w:u w:val="single"/>
        </w:rPr>
      </w:pPr>
    </w:p>
    <w:p>
      <w:pPr>
        <w:pStyle w:val="9"/>
        <w:spacing w:line="360" w:lineRule="auto"/>
        <w:ind w:firstLine="435"/>
        <w:rPr>
          <w:rFonts w:ascii="Times New Roman" w:hAnsi="Times New Roman"/>
        </w:rPr>
      </w:pPr>
      <w:r>
        <w:rPr>
          <w:rFonts w:hint="eastAsia" w:ascii="Times New Roman" w:hAnsi="Times New Roman"/>
        </w:rPr>
        <w:t>致：（采购人名称）</w:t>
      </w:r>
    </w:p>
    <w:p>
      <w:pPr>
        <w:pStyle w:val="9"/>
        <w:spacing w:line="360" w:lineRule="auto"/>
        <w:ind w:firstLine="435"/>
        <w:rPr>
          <w:rFonts w:ascii="Times New Roman" w:hAnsi="Times New Roman"/>
        </w:rPr>
      </w:pPr>
    </w:p>
    <w:p>
      <w:pPr>
        <w:pStyle w:val="9"/>
        <w:spacing w:line="360" w:lineRule="auto"/>
        <w:ind w:firstLine="435"/>
        <w:rPr>
          <w:rFonts w:ascii="Times New Roman" w:hAnsi="Times New Roman"/>
        </w:rPr>
      </w:pPr>
      <w:r>
        <w:rPr>
          <w:rFonts w:hint="eastAsia" w:ascii="Times New Roman" w:hAnsi="Times New Roman"/>
        </w:rPr>
        <w:t>本人</w:t>
      </w:r>
      <w:r>
        <w:rPr>
          <w:rFonts w:hint="eastAsia" w:ascii="Times New Roman" w:hAnsi="Times New Roman"/>
          <w:u w:val="single"/>
        </w:rPr>
        <w:t>（姓名）</w:t>
      </w:r>
      <w:r>
        <w:rPr>
          <w:rFonts w:hint="eastAsia" w:ascii="Times New Roman" w:hAnsi="Times New Roman"/>
        </w:rPr>
        <w:t>系</w:t>
      </w:r>
      <w:r>
        <w:rPr>
          <w:rFonts w:hint="eastAsia" w:ascii="Times New Roman" w:hAnsi="Times New Roman"/>
          <w:u w:val="single"/>
        </w:rPr>
        <w:t>（投标人名称）</w:t>
      </w:r>
      <w:r>
        <w:rPr>
          <w:rFonts w:hint="eastAsia" w:ascii="Times New Roman" w:hAnsi="Times New Roman"/>
        </w:rPr>
        <w:t>的法定代表人，现授权我单位在职正式员工</w:t>
      </w:r>
      <w:r>
        <w:rPr>
          <w:rFonts w:hint="eastAsia" w:ascii="Times New Roman" w:hAnsi="Times New Roman"/>
          <w:u w:val="single"/>
        </w:rPr>
        <w:t>（姓名和职务）</w:t>
      </w:r>
      <w:r>
        <w:rPr>
          <w:rFonts w:hint="eastAsia" w:ascii="Times New Roman" w:hAnsi="Times New Roman"/>
        </w:rPr>
        <w:t>为我方代理人。代理人根据授权，以我方名义签署、澄清、说明、补正、递交、撤回、修改贵方组织的</w:t>
      </w:r>
      <w:r>
        <w:rPr>
          <w:rFonts w:hint="eastAsia" w:ascii="Times New Roman" w:hAnsi="Times New Roman"/>
          <w:u w:val="single"/>
        </w:rPr>
        <w:t>（项目名称）</w:t>
      </w:r>
      <w:r>
        <w:rPr>
          <w:rFonts w:hint="eastAsia" w:ascii="Times New Roman" w:hAnsi="Times New Roman"/>
        </w:rPr>
        <w:t>（项目编号：）项目的投标文件、签订合同和处理一切有关事宜，其法律后果由我方承担。</w:t>
      </w:r>
    </w:p>
    <w:p>
      <w:pPr>
        <w:pStyle w:val="9"/>
        <w:spacing w:line="360" w:lineRule="auto"/>
        <w:ind w:firstLine="435"/>
        <w:rPr>
          <w:rFonts w:ascii="Times New Roman" w:hAnsi="Times New Roman"/>
        </w:rPr>
      </w:pPr>
      <w:r>
        <w:rPr>
          <w:rFonts w:hint="eastAsia" w:ascii="Times New Roman" w:hAnsi="Times New Roman"/>
        </w:rPr>
        <w:t>本授权书于年月日签字生效，委托期限：。</w:t>
      </w:r>
    </w:p>
    <w:p>
      <w:pPr>
        <w:pStyle w:val="9"/>
        <w:spacing w:line="360" w:lineRule="auto"/>
        <w:ind w:firstLine="420"/>
        <w:rPr>
          <w:rFonts w:ascii="Times New Roman" w:hAnsi="Times New Roman"/>
        </w:rPr>
      </w:pPr>
      <w:r>
        <w:rPr>
          <w:rFonts w:hint="eastAsia" w:ascii="Times New Roman" w:hAnsi="Times New Roman"/>
        </w:rPr>
        <w:t>代理人无转委托权。</w:t>
      </w:r>
    </w:p>
    <w:p>
      <w:pPr>
        <w:pStyle w:val="9"/>
        <w:spacing w:line="360" w:lineRule="auto"/>
        <w:ind w:firstLine="420"/>
        <w:rPr>
          <w:rFonts w:ascii="Times New Roman" w:hAnsi="Times New Roman"/>
        </w:rPr>
      </w:pPr>
    </w:p>
    <w:p>
      <w:pPr>
        <w:pStyle w:val="9"/>
        <w:spacing w:line="360" w:lineRule="auto"/>
        <w:ind w:firstLine="420"/>
        <w:rPr>
          <w:rFonts w:ascii="Times New Roman" w:hAnsi="Times New Roman"/>
          <w:u w:val="single"/>
        </w:rPr>
      </w:pPr>
      <w:r>
        <w:rPr>
          <w:rFonts w:hint="eastAsia" w:ascii="Times New Roman" w:hAnsi="Times New Roman"/>
        </w:rPr>
        <w:t>投标人（盖单位公章）：</w:t>
      </w:r>
    </w:p>
    <w:p>
      <w:pPr>
        <w:pStyle w:val="9"/>
        <w:spacing w:line="360" w:lineRule="auto"/>
        <w:ind w:firstLine="420"/>
        <w:rPr>
          <w:rFonts w:ascii="Times New Roman" w:hAnsi="Times New Roman"/>
          <w:u w:val="single"/>
        </w:rPr>
      </w:pPr>
      <w:r>
        <w:rPr>
          <w:rFonts w:hint="eastAsia" w:ascii="Times New Roman" w:hAnsi="Times New Roman"/>
        </w:rPr>
        <w:t>法定代表人（签字或盖章）：</w:t>
      </w:r>
    </w:p>
    <w:p>
      <w:pPr>
        <w:pStyle w:val="9"/>
        <w:spacing w:line="360" w:lineRule="auto"/>
        <w:ind w:firstLine="420"/>
        <w:rPr>
          <w:rFonts w:ascii="Times New Roman" w:hAnsi="Times New Roman"/>
          <w:u w:val="single"/>
        </w:rPr>
      </w:pPr>
      <w:r>
        <w:rPr>
          <w:rFonts w:hint="eastAsia" w:ascii="Times New Roman" w:hAnsi="Times New Roman"/>
        </w:rPr>
        <w:t>法定代表人身份证号码：</w:t>
      </w:r>
    </w:p>
    <w:p>
      <w:pPr>
        <w:pStyle w:val="9"/>
        <w:spacing w:line="360" w:lineRule="auto"/>
        <w:ind w:firstLine="420" w:firstLineChars="200"/>
        <w:rPr>
          <w:rFonts w:ascii="Times New Roman" w:hAnsi="Times New Roman"/>
        </w:rPr>
      </w:pPr>
      <w:r>
        <w:rPr>
          <w:rFonts w:hint="eastAsia" w:ascii="Times New Roman" w:hAnsi="Times New Roman"/>
        </w:rPr>
        <w:t>委托代理人（签字或盖章）：</w:t>
      </w:r>
    </w:p>
    <w:p>
      <w:pPr>
        <w:pStyle w:val="9"/>
        <w:spacing w:line="360" w:lineRule="auto"/>
        <w:ind w:firstLine="420"/>
        <w:rPr>
          <w:rFonts w:ascii="Times New Roman" w:hAnsi="Times New Roman"/>
          <w:u w:val="single"/>
        </w:rPr>
      </w:pPr>
      <w:r>
        <w:rPr>
          <w:rFonts w:hint="eastAsia" w:ascii="Times New Roman" w:hAnsi="Times New Roman"/>
        </w:rPr>
        <w:t>委托代理人身份证号码：</w:t>
      </w:r>
    </w:p>
    <w:p>
      <w:pPr>
        <w:pStyle w:val="9"/>
        <w:spacing w:line="360" w:lineRule="auto"/>
        <w:ind w:firstLine="420"/>
        <w:jc w:val="right"/>
        <w:rPr>
          <w:bCs/>
          <w:szCs w:val="21"/>
        </w:rPr>
      </w:pPr>
      <w:r>
        <w:br w:type="page"/>
      </w:r>
    </w:p>
    <w:p>
      <w:pPr>
        <w:pStyle w:val="9"/>
        <w:jc w:val="center"/>
        <w:rPr>
          <w:rFonts w:ascii="Times New Roman" w:hAnsi="Times New Roman"/>
          <w:b/>
          <w:sz w:val="30"/>
          <w:szCs w:val="30"/>
        </w:rPr>
      </w:pPr>
      <w:r>
        <w:rPr>
          <w:rFonts w:hint="eastAsia" w:ascii="Times New Roman" w:hAnsi="Times New Roman"/>
          <w:b/>
          <w:sz w:val="30"/>
          <w:szCs w:val="30"/>
        </w:rPr>
        <w:t>资格声明函（格式）</w:t>
      </w:r>
    </w:p>
    <w:p>
      <w:pPr>
        <w:pStyle w:val="9"/>
        <w:jc w:val="center"/>
        <w:rPr>
          <w:rFonts w:ascii="Times New Roman" w:hAnsi="Times New Roman"/>
          <w:b/>
          <w:sz w:val="30"/>
          <w:szCs w:val="30"/>
        </w:rPr>
      </w:pPr>
    </w:p>
    <w:p>
      <w:pPr>
        <w:tabs>
          <w:tab w:val="left" w:pos="7200"/>
        </w:tabs>
        <w:rPr>
          <w:rFonts w:hAnsi="宋体"/>
        </w:rPr>
      </w:pPr>
      <w:r>
        <w:rPr>
          <w:rFonts w:hint="eastAsia" w:hAnsi="宋体"/>
        </w:rPr>
        <w:t>致：</w:t>
      </w:r>
      <w:r>
        <w:rPr>
          <w:rFonts w:hAnsi="宋体"/>
        </w:rPr>
        <w:t>_</w:t>
      </w:r>
      <w:r>
        <w:rPr>
          <w:rFonts w:hint="eastAsia" w:hAnsi="宋体"/>
        </w:rPr>
        <w:t>（</w:t>
      </w:r>
      <w:r>
        <w:rPr>
          <w:rFonts w:hint="eastAsia" w:ascii="Times New Roman" w:hAnsi="Times New Roman"/>
        </w:rPr>
        <w:t>采购人名称</w:t>
      </w:r>
      <w:r>
        <w:rPr>
          <w:rFonts w:hint="eastAsia" w:hAnsi="宋体"/>
        </w:rPr>
        <w:t>）</w:t>
      </w:r>
    </w:p>
    <w:p>
      <w:pPr>
        <w:tabs>
          <w:tab w:val="left" w:pos="7200"/>
        </w:tabs>
        <w:ind w:firstLine="420" w:firstLineChars="200"/>
        <w:rPr>
          <w:rFonts w:hAnsi="宋体"/>
        </w:rPr>
      </w:pPr>
      <w:r>
        <w:rPr>
          <w:rFonts w:hint="eastAsia" w:hAnsi="宋体"/>
        </w:rPr>
        <w:t>我方愿意参加贵方组织的</w:t>
      </w:r>
      <w:r>
        <w:rPr>
          <w:rFonts w:hAnsi="宋体"/>
        </w:rPr>
        <w:t>_</w:t>
      </w:r>
      <w:r>
        <w:rPr>
          <w:rFonts w:hAnsi="宋体"/>
          <w:u w:val="single"/>
        </w:rPr>
        <w:t xml:space="preserve">     (</w:t>
      </w:r>
      <w:r>
        <w:rPr>
          <w:rFonts w:hint="eastAsia" w:hAnsi="宋体"/>
          <w:u w:val="single"/>
        </w:rPr>
        <w:t>项目名称</w:t>
      </w:r>
      <w:r>
        <w:rPr>
          <w:rFonts w:hAnsi="宋体"/>
          <w:u w:val="single"/>
        </w:rPr>
        <w:t>)     _     _</w:t>
      </w:r>
      <w:r>
        <w:rPr>
          <w:rFonts w:hAnsi="宋体"/>
        </w:rPr>
        <w:t>_</w:t>
      </w:r>
      <w:r>
        <w:rPr>
          <w:rFonts w:hint="eastAsia" w:hAnsi="宋体"/>
        </w:rPr>
        <w:t>（项目编号：）项目的投标，为便于贵方公正、择优地确定中标单位，我方就本次投标有关事项郑重声明如下：</w:t>
      </w:r>
    </w:p>
    <w:p>
      <w:pPr>
        <w:pStyle w:val="9"/>
        <w:ind w:firstLine="482"/>
        <w:rPr>
          <w:szCs w:val="21"/>
        </w:rPr>
      </w:pPr>
      <w:r>
        <w:rPr>
          <w:rFonts w:hint="eastAsia"/>
          <w:szCs w:val="21"/>
        </w:rPr>
        <w:t>1.我方承诺已经具备《中华人民共和国政府采购法》中规定的参加采购活动的供应商应当具备的条件：</w:t>
      </w:r>
    </w:p>
    <w:p>
      <w:pPr>
        <w:pStyle w:val="9"/>
        <w:ind w:left="420"/>
        <w:rPr>
          <w:szCs w:val="21"/>
        </w:rPr>
      </w:pPr>
      <w:r>
        <w:rPr>
          <w:rFonts w:hint="eastAsia"/>
          <w:szCs w:val="21"/>
        </w:rPr>
        <w:t>（1）具有独立承担民事责任的能力；</w:t>
      </w:r>
    </w:p>
    <w:p>
      <w:pPr>
        <w:pStyle w:val="9"/>
        <w:ind w:left="420"/>
        <w:rPr>
          <w:szCs w:val="21"/>
        </w:rPr>
      </w:pPr>
      <w:r>
        <w:rPr>
          <w:rFonts w:hint="eastAsia"/>
          <w:szCs w:val="21"/>
        </w:rPr>
        <w:t>（2）具有良好的商业信誉和健全的财务会计制度；</w:t>
      </w:r>
    </w:p>
    <w:p>
      <w:pPr>
        <w:pStyle w:val="9"/>
        <w:ind w:left="420"/>
        <w:rPr>
          <w:szCs w:val="21"/>
        </w:rPr>
      </w:pPr>
      <w:r>
        <w:rPr>
          <w:rFonts w:hint="eastAsia"/>
          <w:szCs w:val="21"/>
        </w:rPr>
        <w:t>（3）具有履行合同所必需的设备和专业技术能力；</w:t>
      </w:r>
    </w:p>
    <w:p>
      <w:pPr>
        <w:pStyle w:val="9"/>
        <w:ind w:left="420"/>
        <w:rPr>
          <w:szCs w:val="21"/>
        </w:rPr>
      </w:pPr>
      <w:r>
        <w:rPr>
          <w:rFonts w:hint="eastAsia"/>
          <w:szCs w:val="21"/>
        </w:rPr>
        <w:t>（4）有依法缴纳税收和社会保障资金的良好记录；</w:t>
      </w:r>
    </w:p>
    <w:p>
      <w:pPr>
        <w:pStyle w:val="9"/>
        <w:ind w:left="420"/>
        <w:rPr>
          <w:szCs w:val="21"/>
        </w:rPr>
      </w:pPr>
      <w:r>
        <w:rPr>
          <w:rFonts w:hint="eastAsia"/>
          <w:szCs w:val="21"/>
        </w:rPr>
        <w:t>（5）参加采购活动前三年内，在经营活动中没有重大违法记录；</w:t>
      </w:r>
    </w:p>
    <w:p>
      <w:pPr>
        <w:pStyle w:val="9"/>
        <w:ind w:left="420"/>
        <w:rPr>
          <w:szCs w:val="21"/>
        </w:rPr>
      </w:pPr>
      <w:r>
        <w:rPr>
          <w:rFonts w:hint="eastAsia"/>
          <w:szCs w:val="21"/>
        </w:rPr>
        <w:t>（6）法律、行政法规规定的其他条件。</w:t>
      </w:r>
    </w:p>
    <w:p>
      <w:pPr>
        <w:tabs>
          <w:tab w:val="left" w:pos="7200"/>
        </w:tabs>
        <w:ind w:firstLine="420" w:firstLineChars="200"/>
        <w:rPr>
          <w:rFonts w:hAnsi="宋体"/>
          <w:u w:val="single"/>
        </w:rPr>
      </w:pPr>
      <w:r>
        <w:rPr>
          <w:rFonts w:hAnsi="宋体"/>
        </w:rPr>
        <w:t xml:space="preserve">2. </w:t>
      </w:r>
      <w:r>
        <w:rPr>
          <w:rFonts w:hint="eastAsia" w:hAnsi="宋体"/>
        </w:rPr>
        <w:t>经查询，在“信用中国”和“中国政府采购网”网站我方未被列入失信被执行人、重大税收违法案件当事人名单、采购严重违法失信行为记录名单。</w:t>
      </w:r>
    </w:p>
    <w:p>
      <w:pPr>
        <w:tabs>
          <w:tab w:val="left" w:pos="7200"/>
        </w:tabs>
        <w:ind w:firstLine="420" w:firstLineChars="200"/>
        <w:rPr>
          <w:rFonts w:hAnsi="宋体"/>
        </w:rPr>
      </w:pPr>
      <w:r>
        <w:rPr>
          <w:rFonts w:hint="eastAsia" w:hAnsi="宋体"/>
        </w:rPr>
        <w:t>以上事项如有虚假或隐瞒，我方愿意承担一切后果，并不再寻求任何旨在减轻或免除法律责任的辩解。</w:t>
      </w:r>
    </w:p>
    <w:p>
      <w:pPr>
        <w:tabs>
          <w:tab w:val="left" w:pos="7200"/>
        </w:tabs>
        <w:ind w:firstLine="835" w:firstLineChars="398"/>
        <w:rPr>
          <w:rFonts w:hAnsi="宋体"/>
        </w:rPr>
      </w:pPr>
    </w:p>
    <w:p>
      <w:pPr>
        <w:tabs>
          <w:tab w:val="left" w:pos="7200"/>
        </w:tabs>
        <w:rPr>
          <w:rFonts w:ascii="宋体" w:hAnsi="宋体"/>
        </w:rPr>
      </w:pPr>
      <w:r>
        <w:rPr>
          <w:rFonts w:hint="eastAsia" w:ascii="宋体" w:hAnsi="宋体"/>
        </w:rPr>
        <w:t>说明：</w:t>
      </w:r>
    </w:p>
    <w:p>
      <w:pPr>
        <w:ind w:firstLine="420" w:firstLineChars="200"/>
        <w:jc w:val="left"/>
        <w:rPr>
          <w:rFonts w:ascii="宋体" w:hAnsi="宋体"/>
        </w:rPr>
      </w:pPr>
      <w:r>
        <w:rPr>
          <w:rFonts w:hint="eastAsia" w:ascii="宋体" w:hAnsi="宋体"/>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采购活动。</w:t>
      </w:r>
    </w:p>
    <w:p>
      <w:pPr>
        <w:ind w:firstLine="420" w:firstLineChars="200"/>
        <w:jc w:val="left"/>
        <w:rPr>
          <w:rFonts w:ascii="宋体" w:hAnsi="宋体"/>
        </w:rPr>
      </w:pPr>
      <w:r>
        <w:rPr>
          <w:rFonts w:hint="eastAsia" w:ascii="宋体" w:hAnsi="宋体"/>
        </w:rPr>
        <w:t>2.两个以上的自然人、法人或者其他组织组成一个联合体，以一个供应商的身份共同参加采购活动的，应当对所有联合体成员进行信用记录查询，联合体成员存在不良信用记录的，视同联合体存在不良信用记录。</w:t>
      </w:r>
    </w:p>
    <w:p>
      <w:pPr>
        <w:spacing w:line="440" w:lineRule="exact"/>
        <w:ind w:firstLine="420" w:firstLineChars="200"/>
        <w:jc w:val="left"/>
        <w:rPr>
          <w:rFonts w:hAnsi="宋体"/>
        </w:rPr>
      </w:pPr>
    </w:p>
    <w:p>
      <w:pPr>
        <w:tabs>
          <w:tab w:val="left" w:pos="7200"/>
        </w:tabs>
        <w:spacing w:line="360" w:lineRule="auto"/>
        <w:ind w:firstLine="839" w:firstLineChars="398"/>
        <w:rPr>
          <w:rFonts w:hAnsi="宋体"/>
          <w:b/>
          <w:u w:val="single"/>
        </w:rPr>
      </w:pPr>
      <w:r>
        <w:rPr>
          <w:rFonts w:hint="eastAsia" w:hAnsi="宋体"/>
          <w:b/>
        </w:rPr>
        <w:t>法定代表人或委托代理人签字：</w:t>
      </w:r>
    </w:p>
    <w:p>
      <w:pPr>
        <w:tabs>
          <w:tab w:val="left" w:pos="7200"/>
        </w:tabs>
        <w:spacing w:line="360" w:lineRule="auto"/>
        <w:ind w:firstLine="4100" w:firstLineChars="1945"/>
        <w:rPr>
          <w:rFonts w:hAnsi="宋体"/>
          <w:b/>
        </w:rPr>
      </w:pPr>
      <w:r>
        <w:rPr>
          <w:rFonts w:hint="eastAsia" w:hAnsi="宋体"/>
          <w:b/>
        </w:rPr>
        <w:t>投标人（盖章）：</w:t>
      </w:r>
    </w:p>
    <w:p>
      <w:pPr>
        <w:tabs>
          <w:tab w:val="left" w:pos="7200"/>
        </w:tabs>
        <w:spacing w:line="360" w:lineRule="auto"/>
        <w:ind w:firstLine="839" w:firstLineChars="398"/>
        <w:rPr>
          <w:rFonts w:hAnsi="宋体"/>
          <w:b/>
        </w:rPr>
      </w:pPr>
      <w:r>
        <w:rPr>
          <w:rFonts w:hint="eastAsia" w:hAnsi="宋体"/>
          <w:b/>
        </w:rPr>
        <w:t>年月日</w:t>
      </w:r>
    </w:p>
    <w:p>
      <w:pPr>
        <w:pStyle w:val="9"/>
        <w:spacing w:line="360" w:lineRule="auto"/>
        <w:ind w:firstLine="420"/>
        <w:jc w:val="right"/>
        <w:rPr>
          <w:u w:val="single"/>
        </w:rPr>
      </w:pPr>
    </w:p>
    <w:p>
      <w:pPr>
        <w:pStyle w:val="9"/>
        <w:spacing w:line="360" w:lineRule="auto"/>
        <w:ind w:firstLine="420"/>
        <w:jc w:val="right"/>
        <w:rPr>
          <w:u w:val="single"/>
        </w:rPr>
      </w:pPr>
    </w:p>
    <w:p>
      <w:pPr>
        <w:pStyle w:val="9"/>
        <w:spacing w:line="600" w:lineRule="exact"/>
        <w:jc w:val="center"/>
        <w:outlineLvl w:val="0"/>
        <w:rPr>
          <w:rFonts w:ascii="Times New Roman" w:hAnsi="Times New Roman"/>
          <w:b/>
          <w:sz w:val="36"/>
          <w:szCs w:val="36"/>
        </w:rPr>
      </w:pPr>
      <w:bookmarkStart w:id="22" w:name="_Toc503169376"/>
    </w:p>
    <w:bookmarkEnd w:id="22"/>
    <w:p>
      <w:pPr>
        <w:rPr>
          <w:rFonts w:ascii="Times New Roman" w:hAnsi="Times New Roman"/>
          <w:b/>
          <w:sz w:val="36"/>
          <w:szCs w:val="36"/>
        </w:rPr>
      </w:pPr>
      <w:r>
        <w:rPr>
          <w:rFonts w:hint="eastAsia" w:ascii="Times New Roman" w:hAnsi="Times New Roman"/>
          <w:b/>
          <w:sz w:val="36"/>
          <w:szCs w:val="36"/>
        </w:rPr>
        <w:br w:type="page"/>
      </w:r>
    </w:p>
    <w:p>
      <w:pPr>
        <w:pStyle w:val="9"/>
        <w:spacing w:line="600" w:lineRule="exact"/>
        <w:jc w:val="center"/>
        <w:outlineLvl w:val="0"/>
        <w:rPr>
          <w:rFonts w:ascii="Times New Roman" w:hAnsi="Times New Roman"/>
          <w:u w:val="single"/>
        </w:rPr>
      </w:pPr>
      <w:r>
        <w:rPr>
          <w:rFonts w:hint="eastAsia" w:ascii="Times New Roman" w:hAnsi="Times New Roman"/>
          <w:b/>
          <w:sz w:val="36"/>
          <w:szCs w:val="36"/>
        </w:rPr>
        <w:t>第六章合同条款及格式</w:t>
      </w:r>
    </w:p>
    <w:p>
      <w:pPr>
        <w:rPr>
          <w:rFonts w:ascii="宋体" w:hAnsi="Calibri"/>
          <w:sz w:val="44"/>
        </w:rPr>
      </w:pPr>
    </w:p>
    <w:p>
      <w:pPr>
        <w:ind w:firstLine="880"/>
        <w:rPr>
          <w:rFonts w:ascii="宋体" w:hAnsi="Calibri"/>
          <w:sz w:val="44"/>
        </w:rPr>
      </w:pPr>
    </w:p>
    <w:p>
      <w:pPr>
        <w:ind w:firstLine="880"/>
        <w:rPr>
          <w:rFonts w:ascii="宋体" w:hAnsi="Calibri"/>
          <w:sz w:val="44"/>
        </w:rPr>
      </w:pPr>
    </w:p>
    <w:p>
      <w:pPr>
        <w:ind w:firstLine="880"/>
        <w:rPr>
          <w:rFonts w:ascii="宋体" w:hAnsi="Calibri"/>
          <w:sz w:val="44"/>
        </w:rPr>
      </w:pPr>
    </w:p>
    <w:p>
      <w:pPr>
        <w:ind w:firstLine="420"/>
        <w:rPr>
          <w:rFonts w:ascii="宋体" w:hAnsi="Calibri"/>
        </w:rPr>
      </w:pPr>
    </w:p>
    <w:p>
      <w:pPr>
        <w:ind w:firstLine="420"/>
        <w:rPr>
          <w:rFonts w:ascii="宋体" w:hAnsi="Calibri"/>
        </w:rPr>
      </w:pPr>
    </w:p>
    <w:p>
      <w:pPr>
        <w:jc w:val="center"/>
        <w:rPr>
          <w:rFonts w:ascii="宋体" w:hAnsi="Calibri"/>
          <w:b/>
          <w:bCs/>
          <w:sz w:val="44"/>
          <w:u w:val="single"/>
        </w:rPr>
      </w:pPr>
      <w:r>
        <w:rPr>
          <w:rFonts w:hint="eastAsia" w:ascii="宋体" w:hAnsi="Calibri"/>
          <w:b/>
          <w:bCs/>
          <w:sz w:val="44"/>
          <w:u w:val="single"/>
        </w:rPr>
        <w:t>南宁交通投资集团有限责任公司</w:t>
      </w:r>
    </w:p>
    <w:p>
      <w:pPr>
        <w:jc w:val="center"/>
        <w:rPr>
          <w:rFonts w:ascii="宋体" w:hAnsi="Calibri"/>
          <w:b/>
          <w:bCs/>
          <w:sz w:val="44"/>
        </w:rPr>
      </w:pPr>
      <w:r>
        <w:rPr>
          <w:rFonts w:hint="eastAsia" w:ascii="宋体" w:hAnsi="Calibri"/>
          <w:b/>
          <w:bCs/>
          <w:sz w:val="44"/>
          <w:u w:val="single"/>
        </w:rPr>
        <w:t>2020年第二批办公设备采购</w:t>
      </w:r>
      <w:r>
        <w:rPr>
          <w:rFonts w:hint="eastAsia" w:ascii="宋体" w:hAnsi="Calibri"/>
          <w:b/>
          <w:bCs/>
          <w:sz w:val="44"/>
        </w:rPr>
        <w:t>合同</w:t>
      </w:r>
    </w:p>
    <w:p>
      <w:pPr>
        <w:ind w:firstLine="420"/>
        <w:rPr>
          <w:rFonts w:ascii="宋体" w:hAnsi="Calibri"/>
        </w:rPr>
      </w:pPr>
    </w:p>
    <w:p>
      <w:pPr>
        <w:ind w:firstLine="3507" w:firstLineChars="794"/>
        <w:rPr>
          <w:rFonts w:ascii="宋体" w:hAnsi="Calibri"/>
          <w:b/>
          <w:bCs/>
          <w:sz w:val="44"/>
        </w:rPr>
      </w:pPr>
    </w:p>
    <w:p>
      <w:pPr>
        <w:ind w:firstLine="3507" w:firstLineChars="794"/>
        <w:rPr>
          <w:rFonts w:ascii="宋体" w:hAnsi="Calibri"/>
          <w:b/>
          <w:bCs/>
          <w:sz w:val="44"/>
        </w:rPr>
      </w:pPr>
    </w:p>
    <w:p>
      <w:pPr>
        <w:jc w:val="center"/>
        <w:rPr>
          <w:rFonts w:ascii="宋体" w:hAnsi="Calibri"/>
          <w:b/>
          <w:bCs/>
          <w:sz w:val="44"/>
        </w:rPr>
      </w:pPr>
    </w:p>
    <w:p>
      <w:pPr>
        <w:rPr>
          <w:rFonts w:ascii="宋体" w:hAnsi="宋体"/>
          <w:b/>
          <w:sz w:val="36"/>
          <w:szCs w:val="36"/>
          <w:u w:val="single"/>
        </w:rPr>
      </w:pPr>
    </w:p>
    <w:p>
      <w:pPr>
        <w:rPr>
          <w:rFonts w:ascii="宋体" w:hAnsi="宋体"/>
          <w:b/>
          <w:sz w:val="36"/>
          <w:szCs w:val="36"/>
          <w:u w:val="single"/>
        </w:rPr>
      </w:pPr>
    </w:p>
    <w:p>
      <w:pPr>
        <w:ind w:firstLine="880"/>
        <w:rPr>
          <w:rFonts w:ascii="宋体" w:hAnsi="Calibri"/>
          <w:sz w:val="44"/>
        </w:rPr>
      </w:pPr>
    </w:p>
    <w:p>
      <w:pPr>
        <w:tabs>
          <w:tab w:val="left" w:pos="7200"/>
        </w:tabs>
        <w:ind w:firstLine="1438" w:firstLineChars="398"/>
        <w:rPr>
          <w:rFonts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南宁交通投资集团有限责任公司 </w:t>
      </w:r>
    </w:p>
    <w:p>
      <w:pPr>
        <w:tabs>
          <w:tab w:val="left" w:pos="7380"/>
        </w:tabs>
        <w:ind w:firstLine="1084" w:firstLineChars="300"/>
        <w:rPr>
          <w:rFonts w:ascii="宋体" w:hAnsi="Calibri"/>
          <w:b/>
          <w:bCs/>
          <w:sz w:val="44"/>
        </w:rPr>
      </w:pPr>
      <w:r>
        <w:rPr>
          <w:rFonts w:hint="eastAsia" w:ascii="宋体" w:hAnsi="宋体"/>
          <w:b/>
          <w:sz w:val="36"/>
          <w:szCs w:val="36"/>
        </w:rPr>
        <w:t>中标单位：</w:t>
      </w:r>
    </w:p>
    <w:p>
      <w:pPr>
        <w:ind w:firstLine="420"/>
        <w:rPr>
          <w:rFonts w:ascii="宋体" w:hAnsi="Calibri"/>
        </w:rPr>
      </w:pPr>
    </w:p>
    <w:p>
      <w:pPr>
        <w:spacing w:before="156" w:line="400" w:lineRule="exact"/>
        <w:ind w:firstLine="560"/>
        <w:jc w:val="left"/>
        <w:rPr>
          <w:rFonts w:ascii="宋体" w:hAnsi="宋体"/>
          <w:b/>
          <w:sz w:val="32"/>
          <w:szCs w:val="32"/>
        </w:rPr>
      </w:pPr>
      <w:r>
        <w:rPr>
          <w:rFonts w:hint="eastAsia" w:ascii="宋体" w:hAnsi="宋体"/>
          <w:bCs/>
          <w:sz w:val="28"/>
        </w:rPr>
        <w:br w:type="page"/>
      </w:r>
      <w:r>
        <w:rPr>
          <w:rFonts w:hint="eastAsia"/>
        </w:rPr>
        <w:t>合同编号：</w:t>
      </w:r>
    </w:p>
    <w:p>
      <w:pPr>
        <w:spacing w:before="156" w:line="400" w:lineRule="exact"/>
        <w:rPr>
          <w:rFonts w:ascii="宋体" w:hAnsi="宋体"/>
          <w:b/>
          <w:sz w:val="32"/>
          <w:szCs w:val="32"/>
        </w:rPr>
      </w:pPr>
    </w:p>
    <w:p>
      <w:pPr>
        <w:spacing w:before="156" w:line="400" w:lineRule="exact"/>
        <w:ind w:firstLine="1928" w:firstLineChars="600"/>
        <w:rPr>
          <w:rFonts w:ascii="宋体" w:hAnsi="宋体"/>
          <w:b/>
          <w:sz w:val="32"/>
          <w:szCs w:val="32"/>
        </w:rPr>
      </w:pPr>
      <w:r>
        <w:rPr>
          <w:rFonts w:hint="eastAsia" w:ascii="宋体" w:hAnsi="宋体"/>
          <w:b/>
          <w:sz w:val="32"/>
          <w:szCs w:val="32"/>
        </w:rPr>
        <w:t xml:space="preserve"> 采购合同（合同主要条款及格式）</w:t>
      </w:r>
    </w:p>
    <w:p>
      <w:pPr>
        <w:spacing w:before="156"/>
        <w:ind w:firstLine="480"/>
      </w:pPr>
    </w:p>
    <w:p>
      <w:pPr>
        <w:spacing w:line="400" w:lineRule="exact"/>
        <w:rPr>
          <w:rFonts w:ascii="宋体" w:hAnsi="宋体"/>
        </w:rPr>
      </w:pPr>
      <w:r>
        <w:rPr>
          <w:rFonts w:hint="eastAsia" w:ascii="宋体" w:hAnsi="宋体"/>
        </w:rPr>
        <w:t>项目名称：南宁交通投资集团有限责任公司2020年第二批办公设备采购</w:t>
      </w:r>
    </w:p>
    <w:p>
      <w:pPr>
        <w:spacing w:line="400" w:lineRule="exact"/>
        <w:rPr>
          <w:rFonts w:ascii="宋体" w:hAnsi="宋体"/>
        </w:rPr>
      </w:pPr>
      <w:r>
        <w:rPr>
          <w:rFonts w:hint="eastAsia" w:ascii="宋体" w:hAnsi="宋体"/>
        </w:rPr>
        <w:t>项目编号：DEPBGSBCG-2020-12-002</w:t>
      </w:r>
    </w:p>
    <w:p>
      <w:pPr>
        <w:spacing w:line="400" w:lineRule="exact"/>
        <w:rPr>
          <w:rFonts w:ascii="宋体" w:hAnsi="Calibri" w:cs="宋体"/>
        </w:rPr>
      </w:pPr>
      <w:r>
        <w:rPr>
          <w:rFonts w:hint="eastAsia" w:ascii="宋体" w:hAnsi="宋体" w:cs="宋体"/>
        </w:rPr>
        <w:t>甲方：</w:t>
      </w:r>
      <w:r>
        <w:rPr>
          <w:rFonts w:hint="eastAsia" w:ascii="宋体" w:hAnsi="宋体" w:cs="宋体"/>
          <w:u w:val="single"/>
        </w:rPr>
        <w:t>南宁交通投资集团有限责任公司</w:t>
      </w:r>
      <w:r>
        <w:rPr>
          <w:rFonts w:hint="eastAsia" w:ascii="宋体" w:hAnsi="宋体" w:cs="宋体"/>
        </w:rPr>
        <w:t>（采购人）</w:t>
      </w:r>
    </w:p>
    <w:p>
      <w:pPr>
        <w:spacing w:line="400" w:lineRule="exact"/>
        <w:rPr>
          <w:rFonts w:ascii="宋体" w:hAnsi="Calibri" w:cs="宋体"/>
        </w:rPr>
      </w:pPr>
      <w:r>
        <w:rPr>
          <w:rFonts w:hint="eastAsia" w:ascii="宋体" w:hAnsi="宋体" w:cs="宋体"/>
        </w:rPr>
        <w:t>乙方：（中标单位）</w:t>
      </w:r>
    </w:p>
    <w:p>
      <w:pPr>
        <w:spacing w:line="400" w:lineRule="exact"/>
        <w:ind w:firstLine="420"/>
        <w:rPr>
          <w:rFonts w:ascii="宋体" w:hAnsi="Calibri" w:cs="宋体"/>
        </w:rPr>
      </w:pPr>
      <w:r>
        <w:rPr>
          <w:rFonts w:hint="eastAsia" w:ascii="宋体" w:hAnsi="宋体" w:cs="宋体"/>
        </w:rPr>
        <w:t>根据国家相关法律、法规规定，按照招、投标文件规定条款和中标单位承诺、甲乙双方签订本采购合同。</w:t>
      </w:r>
    </w:p>
    <w:p>
      <w:pPr>
        <w:numPr>
          <w:ilvl w:val="0"/>
          <w:numId w:val="3"/>
        </w:numPr>
        <w:spacing w:line="400" w:lineRule="exact"/>
        <w:ind w:firstLine="0"/>
        <w:rPr>
          <w:rFonts w:ascii="宋体" w:hAnsi="Calibri" w:cs="宋体"/>
          <w:b/>
          <w:bCs/>
        </w:rPr>
      </w:pPr>
      <w:r>
        <w:rPr>
          <w:rFonts w:hint="eastAsia" w:ascii="宋体" w:hAnsi="宋体" w:cs="宋体"/>
          <w:b/>
          <w:bCs/>
        </w:rPr>
        <w:t>合同标的及合同金额</w:t>
      </w:r>
    </w:p>
    <w:tbl>
      <w:tblPr>
        <w:tblStyle w:val="21"/>
        <w:tblW w:w="97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54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Calibri" w:cs="宋体"/>
                <w:szCs w:val="21"/>
              </w:rPr>
            </w:pPr>
            <w:r>
              <w:rPr>
                <w:rFonts w:hint="eastAsia" w:ascii="宋体" w:hAnsi="宋体" w:cs="宋体"/>
              </w:rPr>
              <w:t>项号</w:t>
            </w:r>
          </w:p>
        </w:tc>
        <w:tc>
          <w:tcPr>
            <w:tcW w:w="1232"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Calibri" w:cs="宋体"/>
                <w:szCs w:val="21"/>
              </w:rPr>
            </w:pPr>
            <w:r>
              <w:rPr>
                <w:rFonts w:hint="eastAsia" w:ascii="宋体" w:hAnsi="宋体" w:cs="宋体"/>
              </w:rPr>
              <w:t>货物名称</w:t>
            </w:r>
          </w:p>
        </w:tc>
        <w:tc>
          <w:tcPr>
            <w:tcW w:w="144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Calibri" w:cs="宋体"/>
                <w:szCs w:val="21"/>
              </w:rPr>
            </w:pPr>
            <w:r>
              <w:rPr>
                <w:rFonts w:hint="eastAsia" w:ascii="宋体" w:hAnsi="宋体" w:cs="宋体"/>
              </w:rPr>
              <w:t>生产厂家、品牌、规格型号</w:t>
            </w: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Calibri" w:cs="宋体"/>
                <w:szCs w:val="21"/>
              </w:rPr>
            </w:pPr>
            <w:r>
              <w:rPr>
                <w:rFonts w:hint="eastAsia" w:ascii="宋体" w:hAnsi="宋体" w:cs="宋体"/>
              </w:rPr>
              <w:t>技术参数性能指标等</w:t>
            </w:r>
          </w:p>
        </w:tc>
        <w:tc>
          <w:tcPr>
            <w:tcW w:w="1073"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Calibri" w:cs="宋体"/>
                <w:szCs w:val="21"/>
              </w:rPr>
            </w:pPr>
            <w:r>
              <w:rPr>
                <w:rFonts w:hint="eastAsia" w:ascii="宋体" w:hAnsi="宋体" w:cs="宋体"/>
              </w:rPr>
              <w:t>数量</w:t>
            </w:r>
          </w:p>
          <w:p>
            <w:pPr>
              <w:snapToGrid w:val="0"/>
              <w:spacing w:line="280" w:lineRule="exact"/>
              <w:jc w:val="center"/>
              <w:rPr>
                <w:rFonts w:ascii="宋体" w:hAnsi="Calibri" w:cs="宋体"/>
                <w:szCs w:val="21"/>
              </w:rPr>
            </w:pPr>
            <w:r>
              <w:rPr>
                <w:rFonts w:hint="eastAsia" w:ascii="宋体" w:hAnsi="宋体" w:cs="宋体"/>
              </w:rPr>
              <w:t>①</w:t>
            </w:r>
          </w:p>
        </w:tc>
        <w:tc>
          <w:tcPr>
            <w:tcW w:w="71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Calibri" w:cs="宋体"/>
                <w:szCs w:val="21"/>
              </w:rPr>
            </w:pPr>
            <w:r>
              <w:rPr>
                <w:rFonts w:hint="eastAsia" w:ascii="宋体" w:hAnsi="宋体" w:cs="宋体"/>
              </w:rPr>
              <w:t>单位</w:t>
            </w: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Calibri" w:cs="宋体"/>
                <w:szCs w:val="21"/>
              </w:rPr>
            </w:pPr>
            <w:r>
              <w:rPr>
                <w:rFonts w:hint="eastAsia" w:ascii="宋体" w:hAnsi="宋体" w:cs="宋体"/>
              </w:rPr>
              <w:t>单价（元）</w:t>
            </w:r>
          </w:p>
          <w:p>
            <w:pPr>
              <w:snapToGrid w:val="0"/>
              <w:spacing w:line="280" w:lineRule="exact"/>
              <w:jc w:val="center"/>
              <w:rPr>
                <w:rFonts w:ascii="宋体" w:hAnsi="Calibri" w:cs="宋体"/>
                <w:szCs w:val="21"/>
              </w:rPr>
            </w:pPr>
            <w:r>
              <w:rPr>
                <w:rFonts w:hint="eastAsia" w:ascii="宋体" w:hAnsi="宋体" w:cs="宋体"/>
              </w:rPr>
              <w:t>②</w:t>
            </w:r>
          </w:p>
        </w:tc>
        <w:tc>
          <w:tcPr>
            <w:tcW w:w="157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Calibri" w:cs="宋体"/>
                <w:szCs w:val="21"/>
              </w:rPr>
            </w:pPr>
            <w:r>
              <w:rPr>
                <w:rFonts w:hint="eastAsia" w:ascii="宋体" w:hAnsi="宋体" w:cs="宋体"/>
                <w:b/>
                <w:bCs/>
              </w:rPr>
              <w:t>单项合计金额</w:t>
            </w:r>
            <w:r>
              <w:rPr>
                <w:rFonts w:hint="eastAsia" w:ascii="宋体" w:hAnsi="宋体" w:cs="宋体"/>
              </w:rPr>
              <w:t>（元）</w:t>
            </w:r>
          </w:p>
          <w:p>
            <w:pPr>
              <w:snapToGrid w:val="0"/>
              <w:spacing w:line="280" w:lineRule="exact"/>
              <w:jc w:val="center"/>
              <w:rPr>
                <w:rFonts w:ascii="宋体" w:hAnsi="Calibri" w:cs="宋体"/>
                <w:szCs w:val="21"/>
              </w:rPr>
            </w:pPr>
            <w:r>
              <w:rPr>
                <w:rFonts w:hint="eastAsia" w:ascii="宋体" w:hAnsi="宋体" w:cs="宋体"/>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rPr>
              <w:t>1</w:t>
            </w:r>
          </w:p>
        </w:tc>
        <w:tc>
          <w:tcPr>
            <w:tcW w:w="123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073" w:type="dxa"/>
            <w:tcBorders>
              <w:top w:val="single" w:color="auto" w:sz="4" w:space="0"/>
              <w:left w:val="single" w:color="auto" w:sz="4" w:space="0"/>
              <w:bottom w:val="single" w:color="auto" w:sz="4" w:space="0"/>
              <w:right w:val="single" w:color="auto" w:sz="4" w:space="0"/>
            </w:tcBorders>
          </w:tcPr>
          <w:p>
            <w:pPr>
              <w:snapToGrid w:val="0"/>
              <w:rPr>
                <w:rFonts w:ascii="宋体" w:hAnsi="Calibri" w:cs="宋体"/>
                <w:szCs w:val="21"/>
              </w:rPr>
            </w:pPr>
          </w:p>
        </w:tc>
        <w:tc>
          <w:tcPr>
            <w:tcW w:w="714" w:type="dxa"/>
            <w:tcBorders>
              <w:top w:val="single" w:color="auto" w:sz="4" w:space="0"/>
              <w:left w:val="single" w:color="auto" w:sz="4" w:space="0"/>
              <w:bottom w:val="single" w:color="auto" w:sz="4" w:space="0"/>
              <w:right w:val="single" w:color="auto" w:sz="4" w:space="0"/>
            </w:tcBorders>
          </w:tcPr>
          <w:p>
            <w:pPr>
              <w:snapToGrid w:val="0"/>
              <w:rPr>
                <w:rFonts w:ascii="宋体" w:hAnsi="Calibri"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rPr>
              <w:t>2</w:t>
            </w:r>
          </w:p>
        </w:tc>
        <w:tc>
          <w:tcPr>
            <w:tcW w:w="123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073" w:type="dxa"/>
            <w:tcBorders>
              <w:top w:val="single" w:color="auto" w:sz="4" w:space="0"/>
              <w:left w:val="single" w:color="auto" w:sz="4" w:space="0"/>
              <w:bottom w:val="single" w:color="auto" w:sz="4" w:space="0"/>
              <w:right w:val="single" w:color="auto" w:sz="4" w:space="0"/>
            </w:tcBorders>
          </w:tcPr>
          <w:p>
            <w:pPr>
              <w:snapToGrid w:val="0"/>
              <w:rPr>
                <w:rFonts w:ascii="宋体" w:hAnsi="Calibri" w:cs="宋体"/>
                <w:szCs w:val="21"/>
              </w:rPr>
            </w:pPr>
          </w:p>
        </w:tc>
        <w:tc>
          <w:tcPr>
            <w:tcW w:w="714" w:type="dxa"/>
            <w:tcBorders>
              <w:top w:val="single" w:color="auto" w:sz="4" w:space="0"/>
              <w:left w:val="single" w:color="auto" w:sz="4" w:space="0"/>
              <w:bottom w:val="single" w:color="auto" w:sz="4" w:space="0"/>
              <w:right w:val="single" w:color="auto" w:sz="4" w:space="0"/>
            </w:tcBorders>
          </w:tcPr>
          <w:p>
            <w:pPr>
              <w:snapToGrid w:val="0"/>
              <w:rPr>
                <w:rFonts w:ascii="宋体" w:hAnsi="Calibri"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w:t>
            </w:r>
          </w:p>
        </w:tc>
        <w:tc>
          <w:tcPr>
            <w:tcW w:w="123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48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073" w:type="dxa"/>
            <w:tcBorders>
              <w:top w:val="single" w:color="auto" w:sz="4" w:space="0"/>
              <w:left w:val="single" w:color="auto" w:sz="4" w:space="0"/>
              <w:bottom w:val="single" w:color="auto" w:sz="4" w:space="0"/>
              <w:right w:val="single" w:color="auto" w:sz="4" w:space="0"/>
            </w:tcBorders>
          </w:tcPr>
          <w:p>
            <w:pPr>
              <w:snapToGrid w:val="0"/>
              <w:rPr>
                <w:rFonts w:ascii="宋体" w:hAnsi="Calibri" w:cs="宋体"/>
                <w:szCs w:val="21"/>
              </w:rPr>
            </w:pPr>
          </w:p>
        </w:tc>
        <w:tc>
          <w:tcPr>
            <w:tcW w:w="714" w:type="dxa"/>
            <w:tcBorders>
              <w:top w:val="single" w:color="auto" w:sz="4" w:space="0"/>
              <w:left w:val="single" w:color="auto" w:sz="4" w:space="0"/>
              <w:bottom w:val="single" w:color="auto" w:sz="4" w:space="0"/>
              <w:right w:val="single" w:color="auto" w:sz="4" w:space="0"/>
            </w:tcBorders>
          </w:tcPr>
          <w:p>
            <w:pPr>
              <w:snapToGrid w:val="0"/>
              <w:rPr>
                <w:rFonts w:ascii="宋体" w:hAnsi="Calibri"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201"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r>
              <w:rPr>
                <w:rFonts w:hint="eastAsia" w:ascii="宋体" w:hAnsi="宋体" w:cs="宋体"/>
              </w:rPr>
              <w:t xml:space="preserve">                                                      合     计</w:t>
            </w:r>
          </w:p>
        </w:tc>
        <w:tc>
          <w:tcPr>
            <w:tcW w:w="157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Calibri" w:cs="宋体"/>
                <w:szCs w:val="21"/>
              </w:rPr>
            </w:pPr>
          </w:p>
        </w:tc>
      </w:tr>
    </w:tbl>
    <w:p>
      <w:pPr>
        <w:spacing w:line="400" w:lineRule="exact"/>
        <w:ind w:firstLine="411" w:firstLineChars="196"/>
        <w:rPr>
          <w:rFonts w:ascii="宋体" w:hAnsi="Calibri" w:cs="宋体"/>
          <w:szCs w:val="21"/>
        </w:rPr>
      </w:pPr>
      <w:r>
        <w:rPr>
          <w:rFonts w:hint="eastAsia" w:ascii="宋体" w:hAnsi="宋体" w:cs="宋体"/>
        </w:rPr>
        <w:t>合同的含总金额为：（大写）</w:t>
      </w:r>
      <w:r>
        <w:rPr>
          <w:rFonts w:hint="eastAsia" w:ascii="宋体" w:hAnsi="宋体" w:cs="宋体"/>
          <w:u w:val="single"/>
        </w:rPr>
        <w:t>　　　　　　　　　</w:t>
      </w:r>
      <w:r>
        <w:rPr>
          <w:rFonts w:hint="eastAsia" w:ascii="宋体" w:hAnsi="宋体" w:cs="宋体"/>
        </w:rPr>
        <w:t>人民币（￥</w:t>
      </w:r>
      <w:r>
        <w:rPr>
          <w:rFonts w:hint="eastAsia" w:ascii="宋体" w:hAnsi="宋体" w:cs="宋体"/>
          <w:u w:val="single"/>
        </w:rPr>
        <w:t>　　　　　　　　　　　　　　　</w:t>
      </w:r>
      <w:r>
        <w:rPr>
          <w:rFonts w:hint="eastAsia" w:ascii="宋体" w:hAnsi="宋体" w:cs="宋体"/>
        </w:rPr>
        <w:t>元）,本合同金额包括已包括增值专用发票税金、运输、安装、保修等完成合同约定内容所需的所有费用。</w:t>
      </w:r>
    </w:p>
    <w:p>
      <w:pPr>
        <w:spacing w:line="380" w:lineRule="exact"/>
        <w:ind w:firstLine="413" w:firstLineChars="196"/>
        <w:rPr>
          <w:rFonts w:ascii="宋体" w:hAnsi="Calibri" w:cs="宋体"/>
          <w:b/>
          <w:bCs/>
        </w:rPr>
      </w:pPr>
      <w:r>
        <w:rPr>
          <w:rFonts w:hint="eastAsia" w:ascii="宋体" w:hAnsi="宋体" w:cs="宋体"/>
          <w:b/>
          <w:bCs/>
        </w:rPr>
        <w:t>第二条  质量保证</w:t>
      </w:r>
    </w:p>
    <w:p>
      <w:pPr>
        <w:spacing w:line="380" w:lineRule="exact"/>
        <w:ind w:firstLine="411" w:firstLineChars="196"/>
        <w:rPr>
          <w:rFonts w:ascii="宋体" w:hAnsi="Calibri" w:cs="宋体"/>
        </w:rPr>
      </w:pPr>
      <w:r>
        <w:rPr>
          <w:rFonts w:hint="eastAsia" w:ascii="宋体" w:hAnsi="宋体" w:cs="宋体"/>
        </w:rPr>
        <w:t>1.乙方应按投标文件承诺的货物规格型号、技术参数、质量标准等向甲方提供未经使用的全新原装产品，且在正常安装使用下，其使用寿命期内各项指标均达到质量标准。</w:t>
      </w:r>
    </w:p>
    <w:p>
      <w:pPr>
        <w:spacing w:line="380" w:lineRule="exact"/>
        <w:ind w:firstLine="435"/>
        <w:rPr>
          <w:rFonts w:ascii="宋体" w:hAnsi="Calibri" w:cs="宋体"/>
        </w:rPr>
      </w:pPr>
      <w:r>
        <w:rPr>
          <w:rFonts w:hint="eastAsia" w:ascii="宋体" w:hAnsi="宋体" w:cs="宋体"/>
        </w:rPr>
        <w:t>2.乙方提供货物的质量保证期为自交货物验收合格之日起至十二个月内止《办公设备采招标文件》第二章“货物采购需求”有特殊约定的，按约定执行；厂家承诺质保期超过“货物采购需求”约定内容的，按厂家承诺）。在质保期内因货物本身的质量问题发生故障，乙方应负责根据甲方的要求免费修理和更换零部件。对达不到技术要求者，根据实际情况，甲方可要求乙方按以下办法处理：</w:t>
      </w:r>
    </w:p>
    <w:p>
      <w:pPr>
        <w:spacing w:line="380" w:lineRule="exact"/>
        <w:ind w:firstLine="435"/>
        <w:rPr>
          <w:rFonts w:ascii="宋体" w:hAnsi="Calibri" w:cs="宋体"/>
        </w:rPr>
      </w:pPr>
      <w:r>
        <w:rPr>
          <w:rFonts w:hint="eastAsia" w:ascii="宋体" w:hAnsi="宋体" w:cs="宋体"/>
        </w:rPr>
        <w:t>（1）更换：由乙方承担所有发生的全部费用。</w:t>
      </w:r>
    </w:p>
    <w:p>
      <w:pPr>
        <w:spacing w:line="380" w:lineRule="exact"/>
        <w:ind w:firstLine="420"/>
        <w:rPr>
          <w:rFonts w:ascii="宋体" w:hAnsi="Calibri" w:cs="宋体"/>
        </w:rPr>
      </w:pPr>
      <w:r>
        <w:rPr>
          <w:rFonts w:hint="eastAsia" w:ascii="宋体" w:hAnsi="宋体" w:cs="宋体"/>
        </w:rPr>
        <w:t>（2）退货处理：乙方应退还甲方支付的合同款，未支付的，甲方有权不予支付，同时乙方应承担该货物的一切费用（运输、保险、检验费等）。</w:t>
      </w:r>
    </w:p>
    <w:p>
      <w:pPr>
        <w:spacing w:line="380" w:lineRule="exact"/>
        <w:ind w:firstLine="413" w:firstLineChars="196"/>
        <w:rPr>
          <w:rFonts w:ascii="宋体" w:hAnsi="Calibri" w:cs="宋体"/>
          <w:b/>
          <w:bCs/>
        </w:rPr>
      </w:pPr>
      <w:r>
        <w:rPr>
          <w:rFonts w:hint="eastAsia" w:ascii="宋体" w:hAnsi="宋体" w:cs="宋体"/>
          <w:b/>
          <w:bCs/>
        </w:rPr>
        <w:t>第三条  权利保证</w:t>
      </w:r>
    </w:p>
    <w:p>
      <w:pPr>
        <w:spacing w:line="380" w:lineRule="exact"/>
        <w:ind w:firstLine="411" w:firstLineChars="196"/>
        <w:rPr>
          <w:rFonts w:ascii="宋体" w:hAnsi="Calibri" w:cs="宋体"/>
        </w:rPr>
      </w:pPr>
      <w:r>
        <w:rPr>
          <w:rFonts w:hint="eastAsia" w:ascii="宋体" w:hAnsi="宋体" w:cs="宋体"/>
        </w:rPr>
        <w:t>1.乙方应保证所提供货物在使用时不会侵犯任何第三方的知识产权，如给甲方造成损失的，由乙方负责赔偿。</w:t>
      </w:r>
    </w:p>
    <w:p>
      <w:pPr>
        <w:spacing w:line="380" w:lineRule="exact"/>
        <w:ind w:firstLine="420"/>
        <w:rPr>
          <w:rFonts w:ascii="宋体" w:hAnsi="Calibri" w:cs="宋体"/>
        </w:rPr>
      </w:pPr>
      <w:r>
        <w:rPr>
          <w:rFonts w:hint="eastAsia" w:ascii="宋体" w:hAnsi="宋体" w:cs="宋体"/>
        </w:rPr>
        <w:t>2.乙方应按招标文件规定的时间向甲方提供使用货物的有关技术资料（包括打印机、复印机等产品的使用说明书，office等实名制开放式授权书等）。</w:t>
      </w:r>
    </w:p>
    <w:p>
      <w:pPr>
        <w:spacing w:line="380" w:lineRule="exact"/>
        <w:rPr>
          <w:rFonts w:ascii="宋体" w:hAnsi="Calibri" w:cs="宋体"/>
        </w:rPr>
      </w:pPr>
      <w:r>
        <w:rPr>
          <w:rFonts w:hint="eastAsia" w:ascii="宋体" w:hAnsi="宋体" w:cs="宋体"/>
        </w:rPr>
        <w:t xml:space="preserve">    3.乙方保证所交付的货物的所有权完全属于乙方且无任何抵押、质押、查封等产权瑕疵，如因此导致甲方产生损失的，由乙方负责赔偿。</w:t>
      </w:r>
    </w:p>
    <w:p>
      <w:pPr>
        <w:spacing w:line="380" w:lineRule="exact"/>
        <w:ind w:firstLine="422"/>
        <w:rPr>
          <w:rFonts w:ascii="宋体" w:hAnsi="Calibri" w:cs="宋体"/>
          <w:b/>
          <w:bCs/>
        </w:rPr>
      </w:pPr>
      <w:r>
        <w:rPr>
          <w:rFonts w:hint="eastAsia" w:ascii="宋体" w:hAnsi="宋体" w:cs="宋体"/>
          <w:b/>
          <w:bCs/>
        </w:rPr>
        <w:t>第四条  货物包装、运输</w:t>
      </w:r>
    </w:p>
    <w:p>
      <w:pPr>
        <w:spacing w:line="380" w:lineRule="exact"/>
        <w:ind w:firstLine="420"/>
        <w:rPr>
          <w:rFonts w:ascii="宋体" w:hAnsi="Calibri" w:cs="宋体"/>
        </w:rPr>
      </w:pPr>
      <w:r>
        <w:rPr>
          <w:rFonts w:hint="eastAsia" w:ascii="宋体" w:hAnsi="宋体" w:cs="宋体"/>
        </w:rPr>
        <w:t>1.乙方应在货物发运前对其进行满足运输距离、防潮、防震、防锈和防破损装卸等要求包装，以保证货物安全运达甲方指定地点。</w:t>
      </w:r>
    </w:p>
    <w:p>
      <w:pPr>
        <w:spacing w:line="380" w:lineRule="exact"/>
        <w:ind w:left="420"/>
        <w:rPr>
          <w:rFonts w:ascii="宋体" w:hAnsi="Calibri" w:cs="宋体"/>
        </w:rPr>
      </w:pPr>
      <w:r>
        <w:rPr>
          <w:rFonts w:hint="eastAsia" w:ascii="宋体" w:hAnsi="宋体" w:cs="宋体"/>
        </w:rPr>
        <w:t>2.使用中文说明书、质量检验证明书、随配附件和工具以及清单一并附于货物内。</w:t>
      </w:r>
    </w:p>
    <w:p>
      <w:pPr>
        <w:spacing w:line="380" w:lineRule="exact"/>
        <w:ind w:firstLine="420"/>
        <w:rPr>
          <w:rFonts w:ascii="宋体" w:hAnsi="Calibri" w:cs="宋体"/>
        </w:rPr>
      </w:pPr>
      <w:r>
        <w:rPr>
          <w:rFonts w:hint="eastAsia" w:ascii="宋体" w:hAnsi="宋体" w:cs="宋体"/>
        </w:rPr>
        <w:t>3.乙方在货物发运手续办理完毕后二十四小时内或货到甲方四十八小时前通知甲方，以准备接货。</w:t>
      </w:r>
    </w:p>
    <w:p>
      <w:pPr>
        <w:spacing w:line="380" w:lineRule="exact"/>
        <w:ind w:left="420"/>
        <w:rPr>
          <w:rFonts w:ascii="宋体" w:hAnsi="Calibri" w:cs="宋体"/>
        </w:rPr>
      </w:pPr>
      <w:r>
        <w:rPr>
          <w:rFonts w:hint="eastAsia" w:ascii="宋体" w:hAnsi="宋体" w:cs="宋体"/>
        </w:rPr>
        <w:t>4.货物及货物所附随的一切资料在交付甲方前发生的风险均由乙方负责。</w:t>
      </w:r>
    </w:p>
    <w:p>
      <w:pPr>
        <w:spacing w:line="380" w:lineRule="exact"/>
        <w:ind w:firstLine="413" w:firstLineChars="196"/>
        <w:rPr>
          <w:rFonts w:ascii="宋体" w:hAnsi="Calibri" w:cs="宋体"/>
          <w:b/>
          <w:bCs/>
        </w:rPr>
      </w:pPr>
      <w:r>
        <w:rPr>
          <w:rFonts w:hint="eastAsia" w:ascii="宋体" w:hAnsi="宋体" w:cs="宋体"/>
          <w:b/>
          <w:bCs/>
        </w:rPr>
        <w:t>第五条  交付</w:t>
      </w:r>
    </w:p>
    <w:p>
      <w:pPr>
        <w:spacing w:line="380" w:lineRule="exact"/>
        <w:ind w:firstLine="420"/>
        <w:rPr>
          <w:rFonts w:ascii="宋体" w:hAnsi="宋体" w:cs="宋体"/>
        </w:rPr>
      </w:pPr>
      <w:r>
        <w:rPr>
          <w:rFonts w:hint="eastAsia" w:ascii="宋体" w:hAnsi="宋体" w:cs="宋体"/>
        </w:rPr>
        <w:t>1.交付期：</w:t>
      </w:r>
      <w:r>
        <w:rPr>
          <w:rFonts w:hint="eastAsia" w:ascii="宋体" w:hAnsi="宋体"/>
          <w:kern w:val="0"/>
          <w:szCs w:val="21"/>
        </w:rPr>
        <w:t>在合同签订后的</w:t>
      </w:r>
      <w:r>
        <w:rPr>
          <w:rFonts w:ascii="宋体" w:hAnsi="宋体"/>
          <w:kern w:val="0"/>
          <w:szCs w:val="21"/>
        </w:rPr>
        <w:t>15</w:t>
      </w:r>
      <w:r>
        <w:rPr>
          <w:rFonts w:hint="eastAsia" w:ascii="宋体" w:hAnsi="宋体"/>
          <w:kern w:val="0"/>
          <w:szCs w:val="21"/>
        </w:rPr>
        <w:t>个工作日内必须到货并安装调试完毕且最终验收合格。</w:t>
      </w:r>
      <w:r>
        <w:rPr>
          <w:rFonts w:hint="eastAsia" w:ascii="宋体" w:hAnsi="宋体" w:cs="宋体"/>
        </w:rPr>
        <w:t>地点：广西南宁市甲方指定地点。</w:t>
      </w:r>
    </w:p>
    <w:p>
      <w:pPr>
        <w:spacing w:line="380" w:lineRule="exact"/>
        <w:rPr>
          <w:rFonts w:ascii="宋体" w:hAnsi="Calibri" w:cs="宋体"/>
        </w:rPr>
      </w:pPr>
      <w:r>
        <w:rPr>
          <w:rFonts w:hint="eastAsia" w:ascii="宋体" w:hAnsi="宋体" w:cs="宋体"/>
        </w:rPr>
        <w:t xml:space="preserve">    2.乙方提供不符合招标文件和本合同约定的货物，甲方有权拒绝接受。</w:t>
      </w:r>
    </w:p>
    <w:p>
      <w:pPr>
        <w:spacing w:line="380" w:lineRule="exact"/>
        <w:rPr>
          <w:rFonts w:ascii="宋体" w:hAnsi="Calibri" w:cs="宋体"/>
        </w:rPr>
      </w:pPr>
      <w:r>
        <w:rPr>
          <w:rFonts w:hint="eastAsia" w:ascii="宋体" w:hAnsi="宋体" w:cs="宋体"/>
        </w:rPr>
        <w:t xml:space="preserve">    3.乙方应将所有提供货物的装箱清单、用户手册、原厂保修卡、随机资料、工具和备用、备件等交付给甲方，货物属于进口产品的，供货时应同时附上中文使用说明书，如有缺失应及时补齐，否则视为逾期交货。</w:t>
      </w:r>
    </w:p>
    <w:p>
      <w:pPr>
        <w:spacing w:line="380" w:lineRule="exact"/>
        <w:ind w:left="413"/>
        <w:rPr>
          <w:rFonts w:ascii="宋体" w:hAnsi="宋体" w:cs="宋体"/>
          <w:b/>
          <w:bCs/>
        </w:rPr>
      </w:pPr>
      <w:r>
        <w:rPr>
          <w:rFonts w:hint="eastAsia" w:ascii="宋体" w:hAnsi="宋体" w:cs="宋体"/>
          <w:b/>
          <w:bCs/>
        </w:rPr>
        <w:t>第六条  调试和验收</w:t>
      </w:r>
    </w:p>
    <w:p>
      <w:pPr>
        <w:spacing w:line="380" w:lineRule="exact"/>
        <w:ind w:firstLine="420"/>
        <w:rPr>
          <w:rFonts w:ascii="宋体" w:hAnsi="宋体" w:cs="宋体"/>
        </w:rPr>
      </w:pPr>
      <w:r>
        <w:rPr>
          <w:rFonts w:hint="eastAsia" w:ascii="宋体" w:hAnsi="宋体" w:cs="宋体"/>
        </w:rPr>
        <w:t>1.乙方交货前应对产品做出全面的检查和对验收文件进行整理，并列出清单，作为甲方验收和使用的技术条件依据，检查清单应随货物交甲方。</w:t>
      </w:r>
    </w:p>
    <w:p>
      <w:pPr>
        <w:spacing w:line="380" w:lineRule="exact"/>
        <w:ind w:firstLine="420"/>
        <w:rPr>
          <w:rFonts w:ascii="宋体" w:hAnsi="宋体"/>
          <w:kern w:val="0"/>
        </w:rPr>
      </w:pPr>
      <w:r>
        <w:rPr>
          <w:rFonts w:hint="eastAsia" w:ascii="宋体" w:hAnsi="宋体" w:cs="宋体"/>
        </w:rPr>
        <w:t>2.</w:t>
      </w:r>
      <w:r>
        <w:rPr>
          <w:rFonts w:hint="eastAsia" w:ascii="宋体" w:hAnsi="宋体"/>
          <w:kern w:val="0"/>
        </w:rPr>
        <w:t xml:space="preserve"> 本项目按国家相关标准规范、合同要求验收。</w:t>
      </w:r>
      <w:r>
        <w:rPr>
          <w:rFonts w:hint="eastAsia" w:ascii="宋体" w:hAnsi="宋体" w:cs="宋体"/>
        </w:rPr>
        <w:t>乙方</w:t>
      </w:r>
      <w:r>
        <w:rPr>
          <w:rFonts w:hint="eastAsia" w:ascii="宋体" w:hAnsi="宋体"/>
          <w:kern w:val="0"/>
        </w:rPr>
        <w:t>必须提供原装正品的、全新的、符合有关质量标准的产品。验收时乙方自行调试好，</w:t>
      </w:r>
      <w:r>
        <w:rPr>
          <w:rFonts w:hint="eastAsia" w:ascii="宋体" w:hAnsi="宋体" w:cs="宋体"/>
        </w:rPr>
        <w:t>甲方</w:t>
      </w:r>
      <w:r>
        <w:rPr>
          <w:rFonts w:hint="eastAsia" w:ascii="宋体" w:hAnsi="宋体"/>
          <w:kern w:val="0"/>
        </w:rPr>
        <w:t>现场根据招标文件要求及投标文件承诺逐条对应进行核验、测试产品的技术性能指标，确认各项功能正常使用，同时检查随机文件、配套附件，部分核验不合格的，</w:t>
      </w:r>
      <w:r>
        <w:rPr>
          <w:rFonts w:hint="eastAsia" w:ascii="宋体" w:hAnsi="宋体" w:cs="宋体"/>
        </w:rPr>
        <w:t>甲方</w:t>
      </w:r>
      <w:r>
        <w:rPr>
          <w:rFonts w:hint="eastAsia" w:ascii="宋体" w:hAnsi="宋体"/>
          <w:kern w:val="0"/>
        </w:rPr>
        <w:t>有权解除合同并全部退货，同时报相关监督管理部门处理，由此造成</w:t>
      </w:r>
      <w:r>
        <w:rPr>
          <w:rFonts w:hint="eastAsia" w:ascii="宋体" w:hAnsi="宋体" w:cs="宋体"/>
        </w:rPr>
        <w:t>甲方</w:t>
      </w:r>
      <w:r>
        <w:rPr>
          <w:rFonts w:hint="eastAsia" w:ascii="宋体" w:hAnsi="宋体"/>
          <w:kern w:val="0"/>
        </w:rPr>
        <w:t>经济损失的由</w:t>
      </w:r>
      <w:r>
        <w:rPr>
          <w:rFonts w:hint="eastAsia" w:ascii="宋体" w:hAnsi="宋体" w:cs="宋体"/>
        </w:rPr>
        <w:t>乙方</w:t>
      </w:r>
      <w:r>
        <w:rPr>
          <w:rFonts w:hint="eastAsia" w:ascii="宋体" w:hAnsi="宋体"/>
          <w:kern w:val="0"/>
        </w:rPr>
        <w:t>负责承担全部赔偿责任。</w:t>
      </w:r>
    </w:p>
    <w:p>
      <w:pPr>
        <w:spacing w:line="380" w:lineRule="exact"/>
        <w:ind w:firstLine="420"/>
        <w:rPr>
          <w:rFonts w:ascii="宋体" w:hAnsi="宋体" w:cs="宋体"/>
        </w:rPr>
      </w:pPr>
      <w:r>
        <w:rPr>
          <w:rFonts w:hint="eastAsia" w:ascii="宋体" w:hAnsi="宋体" w:cs="宋体"/>
        </w:rPr>
        <w:t>3.乙方将设备运达约定的交货地点且甲方接收后，甲方应在7个工作日内对乙方提交的设备依据招标文件的要求、投标文件的承诺和国家标准或行业标准进行现场初步验收。对外观、说明书符合要求及随附单据齐全的，给予</w:t>
      </w:r>
      <w:r>
        <w:rPr>
          <w:rFonts w:hint="eastAsia"/>
        </w:rPr>
        <w:t>签收</w:t>
      </w:r>
      <w:r>
        <w:rPr>
          <w:rFonts w:hint="eastAsia" w:ascii="宋体" w:hAnsi="宋体" w:cs="宋体"/>
        </w:rPr>
        <w:t>，甲方对设备的初步验收不等同于最终验收结果；对不符合要求或有质量问题的设备不予签收，可立即要求退换，乙方不得拒绝和延误。</w:t>
      </w:r>
    </w:p>
    <w:p>
      <w:pPr>
        <w:spacing w:line="380" w:lineRule="exact"/>
        <w:ind w:firstLine="420"/>
        <w:rPr>
          <w:rFonts w:ascii="宋体" w:hAnsi="宋体" w:cs="宋体"/>
        </w:rPr>
      </w:pPr>
      <w:r>
        <w:rPr>
          <w:rFonts w:hint="eastAsia" w:ascii="宋体" w:hAnsi="宋体" w:cs="宋体"/>
        </w:rPr>
        <w:t xml:space="preserve">4.甲方对乙方提供的货物在使用前进行调试时，乙方需负责安装并培训甲方的使用操作人员，并协助甲方一起调试，直到符合技术要求，甲方才做最终验收，最终验收合格后由甲乙双方签署货物验收单并加盖公章，甲乙双方各执一份。 甲方对货物的验收不能作为乙方按照相关法律法规应当承担相应责任的免责事由。  </w:t>
      </w:r>
    </w:p>
    <w:p>
      <w:pPr>
        <w:spacing w:line="380" w:lineRule="exact"/>
        <w:ind w:firstLine="420"/>
        <w:rPr>
          <w:rFonts w:ascii="宋体" w:hAnsi="Calibri" w:cs="宋体"/>
        </w:rPr>
      </w:pPr>
      <w:r>
        <w:rPr>
          <w:rFonts w:hint="eastAsia" w:ascii="宋体" w:hAnsi="宋体" w:cs="宋体"/>
        </w:rPr>
        <w:t>5.对技术复杂的货物，甲方应请国家认可的专业检测机构参与初步验收及最终验收，并由其出具质量检测报告。</w:t>
      </w:r>
    </w:p>
    <w:p>
      <w:pPr>
        <w:spacing w:line="380" w:lineRule="exact"/>
        <w:ind w:left="420"/>
        <w:rPr>
          <w:rFonts w:ascii="宋体" w:hAnsi="Calibri" w:cs="宋体"/>
        </w:rPr>
      </w:pPr>
      <w:r>
        <w:rPr>
          <w:rFonts w:hint="eastAsia" w:ascii="宋体" w:hAnsi="宋体" w:cs="宋体"/>
        </w:rPr>
        <w:t>6.验收时乙方必须在现场，验收完毕后作出验收结果报告（</w:t>
      </w:r>
      <w:r>
        <w:rPr>
          <w:rFonts w:hint="eastAsia"/>
        </w:rPr>
        <w:t>乙方出具验收结果报告后，双方才签署货物验收单</w:t>
      </w:r>
      <w:r>
        <w:rPr>
          <w:rFonts w:hint="eastAsia" w:ascii="宋体" w:hAnsi="宋体" w:cs="宋体"/>
        </w:rPr>
        <w:t>），验收费用（包括</w:t>
      </w:r>
      <w:r>
        <w:rPr>
          <w:rFonts w:hint="eastAsia"/>
        </w:rPr>
        <w:t>专业检测机构的检测费用</w:t>
      </w:r>
      <w:r>
        <w:rPr>
          <w:rFonts w:hint="eastAsia" w:ascii="宋体" w:hAnsi="宋体" w:cs="宋体"/>
        </w:rPr>
        <w:t>）由乙方负责。</w:t>
      </w:r>
    </w:p>
    <w:p>
      <w:pPr>
        <w:adjustRightInd w:val="0"/>
        <w:spacing w:line="380" w:lineRule="exact"/>
        <w:ind w:firstLine="420"/>
        <w:rPr>
          <w:rFonts w:ascii="宋体" w:hAnsi="宋体" w:cs="宋体"/>
          <w:szCs w:val="21"/>
        </w:rPr>
      </w:pPr>
      <w:r>
        <w:rPr>
          <w:rFonts w:hint="eastAsia" w:ascii="宋体" w:hAnsi="宋体" w:cs="宋体"/>
          <w:szCs w:val="21"/>
        </w:rPr>
        <w:t>7.乙方在交货及安装截止时间（或甲方另行书面指定的时间）内交货、安装，有关运输和保险的一切费用由乙方承担，所有货物运抵现场并安装、调试、验收合格后的日期为交付日期。</w:t>
      </w:r>
    </w:p>
    <w:p>
      <w:pPr>
        <w:adjustRightInd w:val="0"/>
        <w:spacing w:line="380" w:lineRule="exact"/>
        <w:ind w:firstLine="420"/>
        <w:rPr>
          <w:rFonts w:ascii="宋体" w:hAnsi="宋体" w:cs="宋体"/>
          <w:szCs w:val="21"/>
        </w:rPr>
      </w:pPr>
      <w:r>
        <w:rPr>
          <w:rFonts w:hint="eastAsia" w:ascii="宋体" w:hAnsi="宋体" w:cs="宋体"/>
          <w:szCs w:val="21"/>
        </w:rPr>
        <w:t>8.货物到现场后由甲方（或其授权代表）和乙方组织相关人员共同对货物的数量、外观、包装质量、技术资料等进行检查，检查无误后开始安装、调试。</w:t>
      </w:r>
    </w:p>
    <w:p>
      <w:pPr>
        <w:adjustRightInd w:val="0"/>
        <w:spacing w:line="380" w:lineRule="exact"/>
        <w:ind w:firstLine="420"/>
        <w:rPr>
          <w:rFonts w:ascii="宋体" w:hAnsi="宋体" w:cs="宋体"/>
          <w:szCs w:val="21"/>
        </w:rPr>
      </w:pPr>
      <w:r>
        <w:rPr>
          <w:rFonts w:hint="eastAsia" w:ascii="宋体" w:hAnsi="宋体" w:cs="宋体"/>
          <w:szCs w:val="21"/>
        </w:rPr>
        <w:t>9.交付验收标准：适用的标准为：①符合中华人民共和国国家安全质量标准、环保标准或行业标准；②符合招标文件和投标承诺中甲方认可的合理最佳配置、参数及各项要求；③货物来源官方标准。上述标准必须是有关官方机构发布的最新版本的标准。</w:t>
      </w:r>
    </w:p>
    <w:p>
      <w:pPr>
        <w:adjustRightInd w:val="0"/>
        <w:spacing w:line="380" w:lineRule="exact"/>
        <w:ind w:firstLine="420"/>
        <w:rPr>
          <w:rFonts w:ascii="宋体" w:hAnsi="宋体" w:cs="宋体"/>
          <w:szCs w:val="21"/>
        </w:rPr>
      </w:pPr>
      <w:r>
        <w:rPr>
          <w:rFonts w:hint="eastAsia" w:ascii="宋体" w:hAnsi="宋体" w:cs="宋体"/>
          <w:szCs w:val="21"/>
        </w:rPr>
        <w:t>10.乙方必须为验收提供必需的设备、工具及其他便利条件。</w:t>
      </w:r>
    </w:p>
    <w:p>
      <w:pPr>
        <w:adjustRightInd w:val="0"/>
        <w:spacing w:line="380" w:lineRule="exact"/>
        <w:ind w:firstLine="420"/>
        <w:rPr>
          <w:rFonts w:ascii="宋体" w:hAnsi="宋体" w:cs="宋体"/>
          <w:szCs w:val="21"/>
        </w:rPr>
      </w:pPr>
      <w:r>
        <w:rPr>
          <w:rFonts w:hint="eastAsia" w:ascii="宋体" w:hAnsi="宋体" w:cs="宋体"/>
          <w:szCs w:val="21"/>
        </w:rPr>
        <w:t>11.在验收过程中发现数量不足或有质量、技术等问题，乙方应负责按照甲方的要求采取补足、更换或退货等措施妥善处理，并承担由此发生的一切费用和损失。</w:t>
      </w:r>
    </w:p>
    <w:p>
      <w:pPr>
        <w:spacing w:line="380" w:lineRule="exact"/>
        <w:ind w:firstLine="411" w:firstLineChars="196"/>
        <w:rPr>
          <w:rFonts w:ascii="宋体" w:hAnsi="宋体" w:cs="宋体"/>
          <w:b/>
          <w:bCs/>
        </w:rPr>
      </w:pPr>
      <w:r>
        <w:rPr>
          <w:rFonts w:hint="eastAsia" w:ascii="宋体" w:hAnsi="宋体" w:cs="宋体"/>
          <w:szCs w:val="21"/>
        </w:rPr>
        <w:t>12.对于不合格的货物，</w:t>
      </w:r>
      <w:r>
        <w:rPr>
          <w:rFonts w:hint="eastAsia" w:ascii="Calibri" w:hAnsi="Calibri" w:cs="宋体"/>
          <w:szCs w:val="21"/>
        </w:rPr>
        <w:t>乙方</w:t>
      </w:r>
      <w:r>
        <w:rPr>
          <w:rFonts w:hint="eastAsia" w:ascii="宋体" w:hAnsi="宋体" w:cs="宋体"/>
          <w:szCs w:val="21"/>
        </w:rPr>
        <w:t>必须在7个工作日里及时完成不足、更换、或退货等一切救济措施，如乙方不及时履行更换、退货等义务，导致不合格或不合合同约定货物，导致货物堆积现场而毁损、灭失的风险由乙方承担。</w:t>
      </w:r>
    </w:p>
    <w:p>
      <w:pPr>
        <w:spacing w:line="380" w:lineRule="exact"/>
        <w:ind w:firstLine="413" w:firstLineChars="196"/>
        <w:rPr>
          <w:rFonts w:ascii="宋体" w:hAnsi="Calibri" w:cs="宋体"/>
          <w:b/>
          <w:bCs/>
        </w:rPr>
      </w:pPr>
      <w:r>
        <w:rPr>
          <w:rFonts w:hint="eastAsia" w:ascii="宋体" w:hAnsi="宋体" w:cs="宋体"/>
          <w:b/>
          <w:bCs/>
        </w:rPr>
        <w:t>第七条  安装和培训</w:t>
      </w:r>
    </w:p>
    <w:p>
      <w:pPr>
        <w:spacing w:line="380" w:lineRule="exact"/>
        <w:ind w:firstLine="315" w:firstLineChars="150"/>
        <w:rPr>
          <w:rFonts w:ascii="宋体" w:hAnsi="Calibri" w:cs="宋体"/>
        </w:rPr>
      </w:pPr>
      <w:r>
        <w:rPr>
          <w:rFonts w:hint="eastAsia" w:ascii="宋体" w:hAnsi="宋体" w:cs="宋体"/>
        </w:rPr>
        <w:t xml:space="preserve"> 1.甲方应提供必要安装条件（如场地、电源、水源等）。</w:t>
      </w:r>
    </w:p>
    <w:p>
      <w:pPr>
        <w:spacing w:line="380" w:lineRule="exact"/>
        <w:ind w:firstLine="315" w:firstLineChars="150"/>
        <w:rPr>
          <w:rFonts w:ascii="宋体" w:hAnsi="Calibri" w:cs="宋体"/>
        </w:rPr>
      </w:pPr>
      <w:r>
        <w:rPr>
          <w:rFonts w:hint="eastAsia" w:ascii="宋体" w:hAnsi="宋体" w:cs="宋体"/>
        </w:rPr>
        <w:t xml:space="preserve"> 2.乙方负责甲方有关人员的培训。培训时间、地点：</w:t>
      </w:r>
      <w:r>
        <w:rPr>
          <w:rFonts w:hint="eastAsia" w:ascii="宋体" w:hAnsi="宋体" w:cs="宋体"/>
          <w:u w:val="single"/>
        </w:rPr>
        <w:t>广西南宁市甲方指定时间地点</w:t>
      </w:r>
      <w:r>
        <w:rPr>
          <w:rFonts w:hint="eastAsia" w:ascii="宋体" w:hAnsi="宋体" w:cs="宋体"/>
        </w:rPr>
        <w:t>。</w:t>
      </w:r>
    </w:p>
    <w:p>
      <w:pPr>
        <w:spacing w:line="380" w:lineRule="exact"/>
        <w:ind w:firstLine="413" w:firstLineChars="196"/>
        <w:rPr>
          <w:rFonts w:ascii="宋体" w:hAnsi="Calibri" w:cs="宋体"/>
          <w:b/>
          <w:bCs/>
        </w:rPr>
      </w:pPr>
      <w:r>
        <w:rPr>
          <w:rFonts w:hint="eastAsia" w:ascii="宋体" w:hAnsi="宋体" w:cs="宋体"/>
          <w:b/>
          <w:bCs/>
        </w:rPr>
        <w:t>第八条  售后服务、保修期</w:t>
      </w:r>
    </w:p>
    <w:p>
      <w:pPr>
        <w:tabs>
          <w:tab w:val="left" w:pos="0"/>
        </w:tabs>
        <w:spacing w:line="380" w:lineRule="exact"/>
        <w:ind w:firstLine="420"/>
        <w:rPr>
          <w:rFonts w:ascii="宋体" w:hAnsi="Calibri" w:cs="宋体"/>
        </w:rPr>
      </w:pPr>
      <w:r>
        <w:rPr>
          <w:rFonts w:hint="eastAsia" w:ascii="宋体" w:hAnsi="宋体" w:cs="宋体"/>
        </w:rPr>
        <w:t>1.乙方应按照国家有关法律规定和“三包”规定以及招标文件和本合同所附《服务承诺》，为甲方提供售后服务。</w:t>
      </w:r>
    </w:p>
    <w:p>
      <w:pPr>
        <w:spacing w:line="380" w:lineRule="exact"/>
        <w:ind w:firstLine="420"/>
        <w:rPr>
          <w:rFonts w:ascii="宋体" w:hAnsi="Calibri" w:cs="宋体"/>
        </w:rPr>
      </w:pPr>
      <w:r>
        <w:rPr>
          <w:rFonts w:hint="eastAsia" w:ascii="宋体" w:hAnsi="宋体" w:cs="宋体"/>
        </w:rPr>
        <w:t>2.如在使用过程中发生质量问题，乙方在接到甲方通知后在时间内到达甲方现场处理。</w:t>
      </w:r>
    </w:p>
    <w:p>
      <w:pPr>
        <w:spacing w:line="380" w:lineRule="exact"/>
        <w:ind w:firstLine="420"/>
        <w:rPr>
          <w:rFonts w:ascii="宋体" w:hAnsi="Calibri" w:cs="宋体"/>
        </w:rPr>
      </w:pPr>
      <w:r>
        <w:rPr>
          <w:rFonts w:hint="eastAsia" w:ascii="宋体" w:hAnsi="宋体" w:cs="宋体"/>
        </w:rPr>
        <w:t>3.在质保期内，乙方应对货物出现的质量及安全问题负责处理解决并承担一切费用。</w:t>
      </w:r>
    </w:p>
    <w:p>
      <w:pPr>
        <w:spacing w:line="380" w:lineRule="exact"/>
        <w:ind w:firstLine="420"/>
        <w:rPr>
          <w:rFonts w:ascii="宋体" w:hAnsi="宋体" w:cs="宋体"/>
        </w:rPr>
      </w:pPr>
      <w:r>
        <w:rPr>
          <w:rFonts w:hint="eastAsia" w:ascii="宋体" w:hAnsi="宋体" w:cs="宋体"/>
        </w:rPr>
        <w:t>4.货物免费保修（维护）期</w:t>
      </w:r>
    </w:p>
    <w:tbl>
      <w:tblPr>
        <w:tblStyle w:val="21"/>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01"/>
        <w:gridCol w:w="5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4" w:type="dxa"/>
            <w:vAlign w:val="center"/>
          </w:tcPr>
          <w:p>
            <w:pPr>
              <w:spacing w:line="380" w:lineRule="exact"/>
              <w:jc w:val="center"/>
              <w:rPr>
                <w:rFonts w:ascii="宋体" w:hAnsi="宋体" w:cs="宋体"/>
                <w:szCs w:val="21"/>
              </w:rPr>
            </w:pPr>
            <w:r>
              <w:rPr>
                <w:rFonts w:hint="eastAsia" w:ascii="宋体" w:hAnsi="宋体" w:cs="宋体"/>
                <w:szCs w:val="21"/>
              </w:rPr>
              <w:t>项号</w:t>
            </w:r>
          </w:p>
        </w:tc>
        <w:tc>
          <w:tcPr>
            <w:tcW w:w="1701" w:type="dxa"/>
            <w:vAlign w:val="center"/>
          </w:tcPr>
          <w:p>
            <w:pPr>
              <w:spacing w:before="156" w:line="380" w:lineRule="exact"/>
              <w:ind w:firstLine="420"/>
              <w:jc w:val="center"/>
              <w:rPr>
                <w:rFonts w:ascii="宋体" w:hAnsi="宋体" w:cs="宋体"/>
                <w:szCs w:val="21"/>
              </w:rPr>
            </w:pPr>
            <w:r>
              <w:rPr>
                <w:rFonts w:hint="eastAsia" w:ascii="宋体" w:hAnsi="宋体" w:cs="宋体"/>
                <w:szCs w:val="21"/>
              </w:rPr>
              <w:t>货物名称</w:t>
            </w:r>
          </w:p>
        </w:tc>
        <w:tc>
          <w:tcPr>
            <w:tcW w:w="5626" w:type="dxa"/>
            <w:vAlign w:val="center"/>
          </w:tcPr>
          <w:p>
            <w:pPr>
              <w:spacing w:line="380" w:lineRule="exact"/>
              <w:rPr>
                <w:rFonts w:ascii="宋体" w:hAnsi="宋体" w:cs="宋体"/>
                <w:szCs w:val="21"/>
              </w:rPr>
            </w:pPr>
            <w:r>
              <w:rPr>
                <w:rFonts w:hint="eastAsia" w:ascii="宋体" w:hAnsi="宋体" w:cs="宋体"/>
              </w:rPr>
              <w:t>货物免费保修（维护）期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24" w:type="dxa"/>
            <w:vAlign w:val="center"/>
          </w:tcPr>
          <w:p>
            <w:pPr>
              <w:spacing w:line="380" w:lineRule="exact"/>
              <w:jc w:val="center"/>
              <w:rPr>
                <w:rFonts w:ascii="宋体" w:hAnsi="宋体" w:cs="宋体"/>
                <w:szCs w:val="21"/>
              </w:rPr>
            </w:pPr>
            <w:r>
              <w:rPr>
                <w:rFonts w:hint="eastAsia" w:ascii="宋体" w:hAnsi="宋体" w:cs="宋体"/>
                <w:szCs w:val="21"/>
              </w:rPr>
              <w:t>1</w:t>
            </w:r>
          </w:p>
        </w:tc>
        <w:tc>
          <w:tcPr>
            <w:tcW w:w="1701" w:type="dxa"/>
            <w:vAlign w:val="center"/>
          </w:tcPr>
          <w:p>
            <w:pPr>
              <w:spacing w:before="156" w:line="380" w:lineRule="exact"/>
              <w:ind w:firstLine="420"/>
              <w:jc w:val="center"/>
              <w:rPr>
                <w:rFonts w:ascii="宋体" w:hAnsi="宋体" w:cs="宋体"/>
                <w:szCs w:val="21"/>
              </w:rPr>
            </w:pPr>
          </w:p>
        </w:tc>
        <w:tc>
          <w:tcPr>
            <w:tcW w:w="5626" w:type="dxa"/>
            <w:vAlign w:val="center"/>
          </w:tcPr>
          <w:p>
            <w:pPr>
              <w:spacing w:line="380" w:lineRule="exact"/>
              <w:jc w:val="center"/>
              <w:rPr>
                <w:rFonts w:ascii="宋体" w:hAnsi="宋体" w:cs="宋体"/>
                <w:szCs w:val="21"/>
              </w:rPr>
            </w:pPr>
            <w:r>
              <w:rPr>
                <w:rFonts w:hint="eastAsia" w:ascii="宋体" w:hAnsi="宋体" w:cs="宋体"/>
                <w:szCs w:val="21"/>
              </w:rPr>
              <w:t>年质保服务（自最终验收合格交付使用之日起计算）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24" w:type="dxa"/>
            <w:vAlign w:val="center"/>
          </w:tcPr>
          <w:p>
            <w:pPr>
              <w:spacing w:line="380" w:lineRule="exact"/>
              <w:jc w:val="center"/>
              <w:rPr>
                <w:rFonts w:ascii="宋体" w:hAnsi="宋体" w:cs="宋体"/>
                <w:szCs w:val="21"/>
              </w:rPr>
            </w:pPr>
            <w:r>
              <w:rPr>
                <w:rFonts w:hint="eastAsia" w:ascii="宋体" w:hAnsi="宋体" w:cs="宋体"/>
                <w:szCs w:val="21"/>
              </w:rPr>
              <w:t>2</w:t>
            </w:r>
          </w:p>
        </w:tc>
        <w:tc>
          <w:tcPr>
            <w:tcW w:w="1701" w:type="dxa"/>
            <w:vAlign w:val="center"/>
          </w:tcPr>
          <w:p>
            <w:pPr>
              <w:spacing w:before="156" w:line="380" w:lineRule="exact"/>
              <w:ind w:firstLine="420"/>
              <w:jc w:val="center"/>
              <w:rPr>
                <w:rFonts w:ascii="宋体" w:hAnsi="宋体" w:cs="宋体"/>
                <w:szCs w:val="21"/>
              </w:rPr>
            </w:pPr>
          </w:p>
        </w:tc>
        <w:tc>
          <w:tcPr>
            <w:tcW w:w="5626" w:type="dxa"/>
            <w:vAlign w:val="center"/>
          </w:tcPr>
          <w:p>
            <w:pPr>
              <w:spacing w:line="380" w:lineRule="exact"/>
              <w:jc w:val="center"/>
              <w:rPr>
                <w:rFonts w:ascii="宋体" w:hAnsi="宋体" w:cs="宋体"/>
                <w:szCs w:val="21"/>
                <w:u w:val="single"/>
              </w:rPr>
            </w:pPr>
            <w:r>
              <w:rPr>
                <w:rFonts w:hint="eastAsia" w:ascii="宋体" w:hAnsi="宋体" w:cs="宋体"/>
                <w:szCs w:val="21"/>
              </w:rPr>
              <w:t>年质保服务（自最终验收合格交付使用之日起计算）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24" w:type="dxa"/>
            <w:vAlign w:val="center"/>
          </w:tcPr>
          <w:p>
            <w:pPr>
              <w:spacing w:line="380" w:lineRule="exact"/>
              <w:jc w:val="center"/>
              <w:rPr>
                <w:rFonts w:ascii="宋体" w:hAnsi="宋体" w:cs="宋体"/>
                <w:szCs w:val="21"/>
              </w:rPr>
            </w:pPr>
            <w:r>
              <w:rPr>
                <w:rFonts w:hint="eastAsia" w:ascii="宋体" w:hAnsi="宋体" w:cs="宋体"/>
                <w:szCs w:val="21"/>
              </w:rPr>
              <w:t>...</w:t>
            </w:r>
          </w:p>
        </w:tc>
        <w:tc>
          <w:tcPr>
            <w:tcW w:w="1701" w:type="dxa"/>
            <w:vAlign w:val="center"/>
          </w:tcPr>
          <w:p>
            <w:pPr>
              <w:spacing w:before="156" w:line="380" w:lineRule="exact"/>
              <w:ind w:firstLine="420"/>
              <w:jc w:val="center"/>
              <w:rPr>
                <w:rFonts w:ascii="宋体" w:hAnsi="宋体" w:cs="宋体"/>
                <w:szCs w:val="21"/>
              </w:rPr>
            </w:pPr>
          </w:p>
        </w:tc>
        <w:tc>
          <w:tcPr>
            <w:tcW w:w="5626" w:type="dxa"/>
            <w:vAlign w:val="center"/>
          </w:tcPr>
          <w:p>
            <w:pPr>
              <w:spacing w:line="380" w:lineRule="exact"/>
              <w:jc w:val="center"/>
              <w:rPr>
                <w:rFonts w:ascii="宋体" w:hAnsi="宋体" w:cs="宋体"/>
                <w:szCs w:val="21"/>
                <w:u w:val="single"/>
              </w:rPr>
            </w:pPr>
            <w:r>
              <w:rPr>
                <w:rFonts w:hint="eastAsia" w:ascii="宋体" w:hAnsi="宋体" w:cs="宋体"/>
                <w:szCs w:val="21"/>
              </w:rPr>
              <w:t>年质保服务（自最终验收合格交付使用之日起计算）</w:t>
            </w:r>
          </w:p>
        </w:tc>
      </w:tr>
    </w:tbl>
    <w:p>
      <w:pPr>
        <w:spacing w:line="380" w:lineRule="exact"/>
        <w:ind w:firstLine="420"/>
        <w:rPr>
          <w:rFonts w:ascii="宋体" w:hAnsi="宋体" w:cs="宋体"/>
        </w:rPr>
      </w:pPr>
      <w:r>
        <w:rPr>
          <w:rFonts w:hint="eastAsia" w:ascii="宋体" w:hAnsi="宋体" w:cs="宋体"/>
        </w:rPr>
        <w:t>因人为因素出现的故障不在免费保修范围内。超过保修期的货物，终生维修，维修时只收部件成本费，并开具同等金额专票。</w:t>
      </w:r>
    </w:p>
    <w:p>
      <w:pPr>
        <w:tabs>
          <w:tab w:val="left" w:pos="0"/>
        </w:tabs>
        <w:spacing w:line="380" w:lineRule="exact"/>
        <w:ind w:firstLine="420"/>
        <w:rPr>
          <w:rFonts w:ascii="宋体" w:hAnsi="宋体" w:cs="宋体"/>
        </w:rPr>
      </w:pPr>
      <w:r>
        <w:rPr>
          <w:rFonts w:hint="eastAsia" w:ascii="宋体" w:hAnsi="宋体" w:cs="宋体"/>
        </w:rPr>
        <w:t>5.甲方在使用货物的过程中，如有不懂操作的或其他问题，向乙方咨询时，乙方应在1个工作日内答复。</w:t>
      </w:r>
    </w:p>
    <w:p>
      <w:pPr>
        <w:spacing w:line="380" w:lineRule="exact"/>
        <w:ind w:firstLine="413" w:firstLineChars="196"/>
        <w:rPr>
          <w:rFonts w:ascii="宋体" w:hAnsi="Calibri" w:cs="宋体"/>
          <w:b/>
          <w:bCs/>
        </w:rPr>
      </w:pPr>
      <w:r>
        <w:rPr>
          <w:rFonts w:hint="eastAsia" w:ascii="宋体" w:hAnsi="宋体" w:cs="宋体"/>
          <w:b/>
          <w:bCs/>
        </w:rPr>
        <w:t>第九条  税费</w:t>
      </w:r>
    </w:p>
    <w:p>
      <w:pPr>
        <w:spacing w:line="380" w:lineRule="exact"/>
        <w:ind w:firstLine="411" w:firstLineChars="196"/>
        <w:rPr>
          <w:rFonts w:ascii="宋体" w:hAnsi="Calibri" w:cs="宋体"/>
        </w:rPr>
      </w:pPr>
      <w:r>
        <w:rPr>
          <w:rFonts w:hint="eastAsia" w:ascii="宋体" w:hAnsi="宋体" w:cs="宋体"/>
        </w:rPr>
        <w:t>本合同执行中相关费用涉及的一切税费均由乙方负担。</w:t>
      </w:r>
    </w:p>
    <w:p>
      <w:pPr>
        <w:numPr>
          <w:ilvl w:val="0"/>
          <w:numId w:val="4"/>
        </w:numPr>
        <w:spacing w:line="380" w:lineRule="exact"/>
        <w:ind w:firstLine="422"/>
        <w:rPr>
          <w:rFonts w:ascii="宋体" w:hAnsi="宋体" w:cs="宋体"/>
          <w:bCs/>
        </w:rPr>
      </w:pPr>
      <w:r>
        <w:rPr>
          <w:rFonts w:hint="eastAsia" w:ascii="宋体" w:hAnsi="宋体" w:cs="宋体"/>
          <w:b/>
          <w:bCs/>
        </w:rPr>
        <w:t>付款方式</w:t>
      </w:r>
    </w:p>
    <w:p>
      <w:pPr>
        <w:spacing w:line="380" w:lineRule="exact"/>
        <w:ind w:firstLine="420"/>
        <w:rPr>
          <w:rFonts w:asciiTheme="minorEastAsia" w:hAnsiTheme="minorEastAsia" w:cstheme="minorEastAsia"/>
          <w:bCs/>
        </w:rPr>
      </w:pPr>
      <w:r>
        <w:rPr>
          <w:rFonts w:hint="eastAsia" w:asciiTheme="minorEastAsia" w:hAnsiTheme="minorEastAsia" w:cstheme="minorEastAsia"/>
        </w:rPr>
        <w:t>1.</w:t>
      </w:r>
      <w:r>
        <w:rPr>
          <w:rFonts w:hint="eastAsia" w:asciiTheme="minorEastAsia" w:hAnsiTheme="minorEastAsia" w:cstheme="minorEastAsia"/>
          <w:bCs/>
        </w:rPr>
        <w:t>付款方式：本项目无预付款，乙方交货并安装调试完毕，并经甲方最终验收合格后付清货款。</w:t>
      </w:r>
    </w:p>
    <w:p>
      <w:pPr>
        <w:spacing w:before="156" w:line="380" w:lineRule="exact"/>
        <w:ind w:firstLine="420"/>
        <w:outlineLvl w:val="1"/>
        <w:rPr>
          <w:rFonts w:asciiTheme="minorEastAsia" w:hAnsiTheme="minorEastAsia" w:cstheme="minorEastAsia"/>
          <w:bCs/>
        </w:rPr>
      </w:pPr>
      <w:r>
        <w:rPr>
          <w:rFonts w:hint="eastAsia" w:asciiTheme="minorEastAsia" w:hAnsiTheme="minorEastAsia" w:cstheme="minorEastAsia"/>
          <w:bCs/>
        </w:rPr>
        <w:t>2. 支付合同款时，由乙方先向甲方提交完整且合法等额的支付申请材料（含全额增值税专用发票）；否则甲方有权拒绝支付且不承担任何违约责任。</w:t>
      </w:r>
    </w:p>
    <w:p>
      <w:pPr>
        <w:spacing w:before="156" w:line="380" w:lineRule="exact"/>
        <w:ind w:firstLine="420"/>
        <w:outlineLvl w:val="1"/>
        <w:rPr>
          <w:rFonts w:asciiTheme="minorEastAsia" w:hAnsiTheme="minorEastAsia" w:cstheme="minorEastAsia"/>
          <w:bCs/>
        </w:rPr>
      </w:pPr>
      <w:r>
        <w:rPr>
          <w:rFonts w:hint="eastAsia" w:asciiTheme="minorEastAsia" w:hAnsiTheme="minorEastAsia" w:cstheme="minorEastAsia"/>
          <w:bCs/>
        </w:rPr>
        <w:t>3.甲方监督管理部门在处理投诉事项期间，甲方可以视具体情况书面通知乙方暂停采购活动，并有权延期支付合同款，乙方同意免除甲方在此种情况下的延期支付责任。</w:t>
      </w:r>
    </w:p>
    <w:p>
      <w:pPr>
        <w:spacing w:line="380" w:lineRule="exact"/>
        <w:ind w:firstLine="420"/>
        <w:rPr>
          <w:rFonts w:asciiTheme="minorEastAsia" w:hAnsiTheme="minorEastAsia" w:cstheme="minorEastAsia"/>
          <w:bCs/>
        </w:rPr>
      </w:pPr>
      <w:r>
        <w:rPr>
          <w:rFonts w:hint="eastAsia" w:asciiTheme="minorEastAsia" w:hAnsiTheme="minorEastAsia" w:cstheme="minorEastAsia"/>
          <w:bCs/>
        </w:rPr>
        <w:t>4.合同约定货物调试最终验收合格之日起履约保证金    元转为货物质量保证金，保质期为</w:t>
      </w:r>
      <w:r>
        <w:rPr>
          <w:rFonts w:hint="eastAsia" w:asciiTheme="minorEastAsia" w:hAnsiTheme="minorEastAsia" w:cstheme="minorEastAsia"/>
          <w:b/>
          <w:u w:val="single"/>
        </w:rPr>
        <w:t xml:space="preserve">  一年 ，第二章“货物需求一览表”中有特殊约定的除外</w:t>
      </w:r>
      <w:r>
        <w:rPr>
          <w:rFonts w:hint="eastAsia" w:asciiTheme="minorEastAsia" w:hAnsiTheme="minorEastAsia" w:cstheme="minorEastAsia"/>
          <w:bCs/>
        </w:rPr>
        <w:t>。质保期满后，乙方无违约行为的，乙方向甲方提出书面申请后，甲方无息退还质量保证金给乙方。</w:t>
      </w:r>
    </w:p>
    <w:p>
      <w:pPr>
        <w:spacing w:line="380" w:lineRule="exact"/>
        <w:ind w:firstLine="413" w:firstLineChars="196"/>
        <w:rPr>
          <w:rFonts w:ascii="宋体" w:hAnsi="Calibri" w:cs="宋体"/>
          <w:b/>
          <w:bCs/>
        </w:rPr>
      </w:pPr>
      <w:r>
        <w:rPr>
          <w:rFonts w:hint="eastAsia" w:ascii="宋体" w:hAnsi="宋体" w:cs="宋体"/>
          <w:b/>
          <w:bCs/>
        </w:rPr>
        <w:t>第十一条  违约责任</w:t>
      </w:r>
    </w:p>
    <w:p>
      <w:pPr>
        <w:spacing w:line="380" w:lineRule="exact"/>
        <w:ind w:firstLine="420"/>
        <w:rPr>
          <w:rFonts w:ascii="宋体" w:hAnsi="宋体" w:cs="宋体"/>
        </w:rPr>
      </w:pPr>
      <w:r>
        <w:rPr>
          <w:rFonts w:hint="eastAsia" w:ascii="宋体" w:hAnsi="宋体" w:cs="宋体"/>
        </w:rPr>
        <w:t>1. 本合同因一方违约而需赔偿守约方的损失费用包括但不限于损失赔偿费、诉讼费、律师费、鉴定费、调查费、公证费、诉讼财产保全责任保险费、差旅费等一切损失费用，如本合同所约定违约责任不足以弥补守约方损失的，违约方应当继续赔偿损失。</w:t>
      </w:r>
    </w:p>
    <w:p>
      <w:pPr>
        <w:spacing w:line="380" w:lineRule="exact"/>
        <w:ind w:firstLine="420"/>
        <w:rPr>
          <w:rFonts w:ascii="宋体" w:hAnsi="Calibri" w:cs="宋体"/>
        </w:rPr>
      </w:pPr>
      <w:r>
        <w:rPr>
          <w:rFonts w:hint="eastAsia" w:ascii="宋体" w:hAnsi="宋体" w:cs="宋体"/>
        </w:rPr>
        <w:t>2. 乙方所提供的货物规格、技术标准、材料等质量不合格或数量不足或延期交货的，应按照合同约定及时补足、更换或退款退货，每逾期一日，乙方应向甲方支付合同总金额5‰违约金并赔偿甲方经济损失，逾期5日，甲方有权单方解除本合同，有权要求乙方按合同总金额的5%向甲方偿付违约金，违约金不足以赔偿损失的，还应继续赔偿损失。</w:t>
      </w:r>
    </w:p>
    <w:p>
      <w:pPr>
        <w:spacing w:line="380" w:lineRule="exact"/>
        <w:ind w:firstLine="420"/>
        <w:rPr>
          <w:rFonts w:ascii="宋体" w:hAnsi="Calibri" w:cs="宋体"/>
        </w:rPr>
      </w:pPr>
      <w:r>
        <w:rPr>
          <w:rFonts w:hint="eastAsia" w:ascii="宋体" w:hAnsi="宋体" w:cs="宋体"/>
        </w:rPr>
        <w:t xml:space="preserve">3. 乙方提供的货物如果侵犯了第三方合法权益而引发的任何纠纷或诉讼，均由乙方负责交涉并承担全部责任，如造成甲方损失的，乙方应向甲方支付甲方处理该事件的所有费用（包括但不限于律师费、诉讼费、交通费、向行政管理机关交纳的罚款、公证费、检验费、鉴定费等一切费用），乙方还应按合同总金额5%的向甲方支付违约金，且甲方有权单方解除本合同。 </w:t>
      </w:r>
    </w:p>
    <w:p>
      <w:pPr>
        <w:spacing w:line="380" w:lineRule="exact"/>
        <w:ind w:firstLine="420"/>
        <w:rPr>
          <w:rFonts w:ascii="宋体" w:hAnsi="Calibri" w:cs="宋体"/>
        </w:rPr>
      </w:pPr>
      <w:r>
        <w:rPr>
          <w:rFonts w:hint="eastAsia" w:ascii="宋体" w:hAnsi="宋体" w:cs="宋体"/>
        </w:rPr>
        <w:t>4. 因包装、运输引起的货物损坏，按质量不合格处理。</w:t>
      </w:r>
    </w:p>
    <w:p>
      <w:pPr>
        <w:spacing w:line="380" w:lineRule="exact"/>
        <w:ind w:firstLine="420"/>
        <w:rPr>
          <w:rFonts w:ascii="宋体" w:hAnsi="Calibri" w:cs="宋体"/>
        </w:rPr>
      </w:pPr>
      <w:r>
        <w:rPr>
          <w:rFonts w:hint="eastAsia" w:ascii="宋体" w:hAnsi="宋体" w:cs="宋体"/>
        </w:rPr>
        <w:t>5.乙方未按本合同和响应文件中规定的服务承诺（服务承诺详见附件）提供售后服务的，乙方应按本合同合同总金额</w:t>
      </w:r>
      <w:r>
        <w:rPr>
          <w:rFonts w:hint="eastAsia" w:ascii="宋体" w:hAnsi="宋体" w:cs="宋体"/>
          <w:u w:val="single"/>
        </w:rPr>
        <w:t>5</w:t>
      </w:r>
      <w:r>
        <w:rPr>
          <w:rFonts w:hint="eastAsia" w:ascii="宋体" w:hAnsi="宋体" w:cs="宋体"/>
        </w:rPr>
        <w:t>%向甲方支付违约金。</w:t>
      </w:r>
    </w:p>
    <w:p>
      <w:pPr>
        <w:spacing w:line="380" w:lineRule="exact"/>
        <w:ind w:firstLine="420"/>
        <w:rPr>
          <w:rFonts w:ascii="宋体" w:hAnsi="宋体" w:eastAsia="宋体" w:cs="宋体"/>
        </w:rPr>
      </w:pPr>
      <w:r>
        <w:rPr>
          <w:rFonts w:hint="eastAsia" w:ascii="宋体" w:hAnsi="宋体" w:cs="宋体"/>
        </w:rPr>
        <w:t>6. 乙方提供的货物在质保期内，因设计、工艺或材料的缺陷和其他质量原因造成的问题，由乙方负责维修或更换，相关费用从质量保证金中扣除，不足另补。</w:t>
      </w:r>
      <w:r>
        <w:rPr>
          <w:rFonts w:hint="eastAsia" w:ascii="宋体" w:hAnsi="宋体" w:eastAsia="宋体" w:cs="宋体"/>
        </w:rPr>
        <w:t>若乙方在约定时间内未处理质量和安全问题的，甲方有权委托第三方进行维修，由此产生的费用可从质保金中直接扣除。</w:t>
      </w:r>
    </w:p>
    <w:p>
      <w:pPr>
        <w:spacing w:line="380" w:lineRule="exact"/>
        <w:ind w:firstLine="420"/>
        <w:rPr>
          <w:rFonts w:ascii="宋体" w:hAnsi="Calibri" w:cs="宋体"/>
        </w:rPr>
      </w:pPr>
      <w:r>
        <w:rPr>
          <w:rFonts w:hint="eastAsia" w:ascii="宋体" w:hAnsi="宋体" w:cs="宋体"/>
        </w:rPr>
        <w:t>因乙方违约应向甲方支付的违约金、赔偿金等，甲方有权直接从未付款及质保金中予以扣除。质保金被扣除上述款项后，经甲方书面通知后，乙方应当在5个工作日内补足质保金至合同约定数额。</w:t>
      </w:r>
    </w:p>
    <w:p>
      <w:pPr>
        <w:spacing w:line="380" w:lineRule="exact"/>
        <w:ind w:firstLine="420" w:firstLineChars="200"/>
        <w:rPr>
          <w:rFonts w:ascii="宋体" w:hAnsi="Calibri" w:cs="宋体"/>
        </w:rPr>
      </w:pPr>
      <w:r>
        <w:rPr>
          <w:rFonts w:hint="eastAsia" w:ascii="宋体" w:hAnsi="宋体" w:cs="宋体"/>
        </w:rPr>
        <w:t>7.其他违约行为按违约行为对应的货款额5%收取违约金并赔偿经济损失。乙方应在违约行为出现后2日内修正该行为，若乙方逾期修正违约行为的，甲方有权要求乙方支付合同总金额的5%作为违约金，并有权解除本合同，违约金不足以弥补甲方损失的，乙方还应赔偿损失。</w:t>
      </w:r>
    </w:p>
    <w:p>
      <w:pPr>
        <w:spacing w:line="380" w:lineRule="exact"/>
        <w:ind w:firstLine="413" w:firstLineChars="196"/>
        <w:rPr>
          <w:rFonts w:ascii="宋体" w:hAnsi="Calibri" w:cs="宋体"/>
          <w:b/>
          <w:bCs/>
        </w:rPr>
      </w:pPr>
      <w:r>
        <w:rPr>
          <w:rFonts w:hint="eastAsia" w:ascii="宋体" w:hAnsi="宋体" w:cs="宋体"/>
          <w:b/>
          <w:bCs/>
        </w:rPr>
        <w:t>第十二条  不可抗力事件处理</w:t>
      </w:r>
    </w:p>
    <w:p>
      <w:pPr>
        <w:spacing w:line="380" w:lineRule="exact"/>
        <w:ind w:firstLine="420"/>
        <w:rPr>
          <w:rFonts w:ascii="宋体" w:hAnsi="Calibri" w:cs="宋体"/>
        </w:rPr>
      </w:pPr>
      <w:r>
        <w:rPr>
          <w:rFonts w:hint="eastAsia" w:ascii="宋体" w:hAnsi="宋体" w:cs="宋体"/>
        </w:rPr>
        <w:t>1.甲乙双方因不可抗力事件导致不能履行合同，则合同履行期可延长，其延长期与不可抗力影响期相同。</w:t>
      </w:r>
    </w:p>
    <w:p>
      <w:pPr>
        <w:spacing w:line="380" w:lineRule="exact"/>
        <w:ind w:left="420"/>
        <w:rPr>
          <w:rFonts w:ascii="宋体" w:hAnsi="Calibri" w:cs="宋体"/>
        </w:rPr>
      </w:pPr>
      <w:r>
        <w:rPr>
          <w:rFonts w:hint="eastAsia" w:ascii="宋体" w:hAnsi="宋体" w:cs="宋体"/>
        </w:rPr>
        <w:t>2.不可抗力事件发生后，应立即通知对方，并寄送有关权威机构出具的证明。</w:t>
      </w:r>
    </w:p>
    <w:p>
      <w:pPr>
        <w:spacing w:line="380" w:lineRule="exact"/>
        <w:ind w:left="420"/>
        <w:rPr>
          <w:rFonts w:ascii="宋体" w:hAnsi="Calibri" w:cs="宋体"/>
        </w:rPr>
      </w:pPr>
      <w:r>
        <w:rPr>
          <w:rFonts w:hint="eastAsia" w:ascii="宋体" w:hAnsi="宋体" w:cs="宋体"/>
        </w:rPr>
        <w:t>3.不可抗力持续一百二十天以上，甲乙双方任何一方可以书面通知形式行使合同单方解除权。</w:t>
      </w:r>
    </w:p>
    <w:p>
      <w:pPr>
        <w:spacing w:line="380" w:lineRule="exact"/>
        <w:ind w:firstLine="413" w:firstLineChars="196"/>
        <w:rPr>
          <w:rFonts w:ascii="宋体" w:hAnsi="Calibri" w:cs="宋体"/>
          <w:b/>
          <w:bCs/>
        </w:rPr>
      </w:pPr>
      <w:r>
        <w:rPr>
          <w:rFonts w:hint="eastAsia" w:ascii="宋体" w:hAnsi="宋体" w:cs="宋体"/>
          <w:b/>
          <w:bCs/>
        </w:rPr>
        <w:t>第十三条  合同争议解决</w:t>
      </w:r>
    </w:p>
    <w:p>
      <w:pPr>
        <w:spacing w:line="380" w:lineRule="exact"/>
        <w:ind w:firstLine="420"/>
        <w:rPr>
          <w:rFonts w:ascii="宋体" w:hAnsi="Calibri" w:cs="宋体"/>
        </w:rPr>
      </w:pPr>
      <w:r>
        <w:rPr>
          <w:rFonts w:hint="eastAsia" w:ascii="宋体" w:hAnsi="宋体" w:cs="宋体"/>
        </w:rPr>
        <w:t>1.因货物质量问题发生争议的，由甲方有权委托国家认可的质量检测机构对货物质量进行鉴定。货物符合标准的，鉴定费由甲方承担；货物不符合标准的，鉴定费由乙方承担。</w:t>
      </w:r>
    </w:p>
    <w:p>
      <w:pPr>
        <w:spacing w:line="380" w:lineRule="exact"/>
        <w:ind w:firstLine="420"/>
        <w:rPr>
          <w:rFonts w:ascii="宋体" w:hAnsi="Calibri" w:cs="宋体"/>
        </w:rPr>
      </w:pPr>
      <w:r>
        <w:rPr>
          <w:rFonts w:hint="eastAsia" w:ascii="宋体" w:hAnsi="宋体" w:cs="宋体"/>
        </w:rPr>
        <w:t>2.因履行本合同引起的或与本合同有关的争议，甲乙双方应首先通过友好协商解决，如果协商不能解决，可向本协议签署地（南宁市青秀区）人民法院提起诉讼。</w:t>
      </w:r>
    </w:p>
    <w:p>
      <w:pPr>
        <w:spacing w:line="380" w:lineRule="exact"/>
        <w:ind w:left="435"/>
        <w:rPr>
          <w:rFonts w:ascii="宋体" w:hAnsi="Calibri" w:cs="宋体"/>
        </w:rPr>
      </w:pPr>
      <w:r>
        <w:rPr>
          <w:rFonts w:hint="eastAsia" w:ascii="宋体" w:hAnsi="宋体" w:cs="宋体"/>
        </w:rPr>
        <w:t>3.诉讼期间，本合同未争议部分继续履行。</w:t>
      </w:r>
    </w:p>
    <w:p>
      <w:pPr>
        <w:spacing w:line="380" w:lineRule="exact"/>
        <w:ind w:firstLine="413" w:firstLineChars="196"/>
        <w:rPr>
          <w:rFonts w:ascii="宋体" w:hAnsi="Calibri" w:cs="宋体"/>
          <w:b/>
          <w:bCs/>
        </w:rPr>
      </w:pPr>
      <w:r>
        <w:rPr>
          <w:rFonts w:hint="eastAsia" w:ascii="宋体" w:hAnsi="宋体" w:cs="宋体"/>
          <w:b/>
          <w:bCs/>
        </w:rPr>
        <w:t>第十四条  合同生效及其它</w:t>
      </w:r>
    </w:p>
    <w:p>
      <w:pPr>
        <w:spacing w:line="380" w:lineRule="exact"/>
        <w:ind w:firstLine="420"/>
        <w:rPr>
          <w:rFonts w:ascii="宋体" w:hAnsi="Calibri" w:cs="宋体"/>
        </w:rPr>
      </w:pPr>
      <w:r>
        <w:rPr>
          <w:rFonts w:hint="eastAsia" w:ascii="宋体" w:hAnsi="宋体" w:cs="宋体"/>
        </w:rPr>
        <w:t>1.合同经甲乙双方法定代表人或委托代理人签字并加盖公司公章后生效，本合同</w:t>
      </w:r>
      <w:r>
        <w:rPr>
          <w:rFonts w:hint="eastAsia" w:ascii="宋体" w:hAnsi="宋体"/>
          <w:szCs w:val="21"/>
        </w:rPr>
        <w:t>一式肆份，具有同等法律效力，甲、乙双方各执贰份。</w:t>
      </w:r>
    </w:p>
    <w:p>
      <w:pPr>
        <w:spacing w:line="380" w:lineRule="exact"/>
        <w:ind w:firstLine="420"/>
        <w:rPr>
          <w:rFonts w:ascii="宋体" w:hAnsi="Calibri" w:cs="宋体"/>
        </w:rPr>
      </w:pPr>
      <w:r>
        <w:rPr>
          <w:rFonts w:hint="eastAsia" w:ascii="宋体" w:hAnsi="宋体" w:cs="宋体"/>
        </w:rPr>
        <w:t>2.合同执行中涉及采购资金和采购内容修改或补充的，需经甲方同意，并签订书面补充协议，作为主合同不可分割的一部分，与主合同具有同等法律效力。</w:t>
      </w:r>
    </w:p>
    <w:p>
      <w:pPr>
        <w:spacing w:line="380" w:lineRule="exact"/>
        <w:ind w:firstLine="420" w:firstLineChars="200"/>
        <w:rPr>
          <w:rFonts w:ascii="宋体" w:hAnsi="宋体" w:cs="宋体"/>
        </w:rPr>
      </w:pPr>
      <w:r>
        <w:rPr>
          <w:rFonts w:hint="eastAsia" w:ascii="宋体" w:hAnsi="宋体" w:cs="宋体"/>
        </w:rPr>
        <w:t>3.本合同未尽事宜，遵照《合同法》有关条文执行，或者由甲乙双方协商，达成一致意见后签订书面补充协议，该补充协议是主合同不可分割的一部分，与主合同具有同等法律效力。</w:t>
      </w:r>
    </w:p>
    <w:p>
      <w:pPr>
        <w:numPr>
          <w:ilvl w:val="255"/>
          <w:numId w:val="0"/>
        </w:numPr>
        <w:spacing w:line="380" w:lineRule="exact"/>
        <w:ind w:left="420"/>
        <w:rPr>
          <w:rFonts w:ascii="宋体" w:hAnsi="宋体" w:cs="宋体"/>
        </w:rPr>
      </w:pPr>
      <w:r>
        <w:rPr>
          <w:rFonts w:hint="eastAsia" w:ascii="宋体" w:hAnsi="宋体" w:cs="宋体"/>
        </w:rPr>
        <w:t>4.通知与送达</w:t>
      </w:r>
    </w:p>
    <w:p>
      <w:pPr>
        <w:numPr>
          <w:ilvl w:val="255"/>
          <w:numId w:val="0"/>
        </w:numPr>
        <w:spacing w:line="380" w:lineRule="exact"/>
        <w:ind w:firstLine="420" w:firstLineChars="200"/>
      </w:pPr>
      <w:r>
        <w:rPr>
          <w:rFonts w:ascii="宋体" w:hAnsi="宋体" w:cs="宋体"/>
        </w:rPr>
        <w:t>双方确认的送达地址详见合同签署页，合同、各类函件、通知等文件及资料一经寄送至送达地址即视为送达。各方的联系方式和送达地址需要变更时，应当自变更之日起三个工作日内以书面形式通知对方；未通知的，若对方邮寄送达的，与本合同相关的文件资料包括法律文书邮寄至送达地址即视为送达。</w:t>
      </w:r>
    </w:p>
    <w:p>
      <w:pPr>
        <w:spacing w:line="380" w:lineRule="exact"/>
        <w:ind w:firstLine="413" w:firstLineChars="196"/>
        <w:rPr>
          <w:rFonts w:ascii="宋体" w:hAnsi="Calibri" w:cs="宋体"/>
          <w:b/>
          <w:bCs/>
        </w:rPr>
      </w:pPr>
      <w:r>
        <w:rPr>
          <w:rFonts w:hint="eastAsia" w:ascii="宋体" w:hAnsi="宋体" w:cs="宋体"/>
          <w:b/>
          <w:bCs/>
        </w:rPr>
        <w:t>第十五条  合同的变更、终止与转让</w:t>
      </w:r>
    </w:p>
    <w:p>
      <w:pPr>
        <w:spacing w:line="380" w:lineRule="exact"/>
        <w:ind w:firstLine="420"/>
        <w:rPr>
          <w:rFonts w:ascii="宋体" w:hAnsi="Calibri" w:cs="宋体"/>
        </w:rPr>
      </w:pPr>
      <w:r>
        <w:rPr>
          <w:rFonts w:hint="eastAsia" w:ascii="宋体" w:hAnsi="宋体" w:cs="宋体"/>
        </w:rPr>
        <w:t>1.本合同一经签订且依法生效后，除合同另有约定外，甲乙双方不得擅自变更，中止或终止。</w:t>
      </w:r>
    </w:p>
    <w:p>
      <w:pPr>
        <w:spacing w:line="380" w:lineRule="exact"/>
        <w:ind w:firstLine="420" w:firstLineChars="200"/>
        <w:rPr>
          <w:rFonts w:ascii="宋体" w:hAnsi="Calibri" w:cs="宋体"/>
        </w:rPr>
      </w:pPr>
      <w:r>
        <w:rPr>
          <w:rFonts w:hint="eastAsia" w:ascii="宋体" w:hAnsi="宋体" w:cs="宋体"/>
        </w:rPr>
        <w:t>2.乙方不得擅自转让其应履行的合同义务，否则，甲方有权解除合同，并有权要求乙方支付合同总金额5%作为违约金，违约金不足以弥补损失的，乙方还应赔偿损失。</w:t>
      </w:r>
    </w:p>
    <w:p>
      <w:pPr>
        <w:spacing w:line="380" w:lineRule="exact"/>
        <w:ind w:firstLine="422"/>
        <w:rPr>
          <w:rFonts w:ascii="宋体" w:hAnsi="Calibri" w:cs="宋体"/>
          <w:b/>
          <w:bCs/>
        </w:rPr>
      </w:pPr>
      <w:r>
        <w:rPr>
          <w:rFonts w:hint="eastAsia" w:ascii="宋体" w:hAnsi="宋体" w:cs="宋体"/>
          <w:b/>
          <w:bCs/>
        </w:rPr>
        <w:t>第十六条  下述合同附件为本合同不可分割的部分并与本合同具有同等效力（下列文件排列无优先顺序之分）：</w:t>
      </w:r>
    </w:p>
    <w:p>
      <w:pPr>
        <w:spacing w:line="380" w:lineRule="exact"/>
        <w:ind w:firstLine="420"/>
        <w:rPr>
          <w:rFonts w:ascii="宋体" w:hAnsi="宋体"/>
        </w:rPr>
      </w:pPr>
      <w:r>
        <w:rPr>
          <w:rFonts w:hint="eastAsia" w:ascii="宋体" w:hAnsi="宋体"/>
        </w:rPr>
        <w:t>（1）投标保证金交纳证明；</w:t>
      </w:r>
    </w:p>
    <w:p>
      <w:pPr>
        <w:spacing w:line="380" w:lineRule="exact"/>
        <w:ind w:firstLine="420"/>
        <w:rPr>
          <w:rFonts w:ascii="宋体" w:hAnsi="宋体"/>
        </w:rPr>
      </w:pPr>
      <w:r>
        <w:rPr>
          <w:rFonts w:hint="eastAsia" w:ascii="宋体" w:hAnsi="宋体"/>
        </w:rPr>
        <w:t>（2）招标文件及其澄清和修改；</w:t>
      </w:r>
    </w:p>
    <w:p>
      <w:pPr>
        <w:spacing w:line="380" w:lineRule="exact"/>
        <w:ind w:firstLine="420"/>
        <w:rPr>
          <w:rFonts w:ascii="宋体" w:hAnsi="宋体"/>
        </w:rPr>
      </w:pPr>
      <w:r>
        <w:rPr>
          <w:rFonts w:hint="eastAsia" w:ascii="宋体" w:hAnsi="宋体"/>
        </w:rPr>
        <w:t>（3）报价表；</w:t>
      </w:r>
    </w:p>
    <w:p>
      <w:pPr>
        <w:spacing w:line="380" w:lineRule="exact"/>
        <w:ind w:firstLine="420"/>
        <w:rPr>
          <w:rFonts w:ascii="宋体" w:hAnsi="宋体"/>
        </w:rPr>
      </w:pPr>
      <w:r>
        <w:rPr>
          <w:rFonts w:hint="eastAsia" w:ascii="宋体" w:hAnsi="宋体"/>
        </w:rPr>
        <w:t>（4）报价产品技术资料表、商务条款偏离表；</w:t>
      </w:r>
    </w:p>
    <w:p>
      <w:pPr>
        <w:spacing w:line="380" w:lineRule="exact"/>
        <w:ind w:firstLine="420"/>
        <w:rPr>
          <w:rFonts w:ascii="宋体" w:hAnsi="宋体"/>
        </w:rPr>
      </w:pPr>
      <w:r>
        <w:rPr>
          <w:rFonts w:hint="eastAsia" w:ascii="宋体" w:hAnsi="宋体"/>
        </w:rPr>
        <w:t>（5）中标单位澄清函；</w:t>
      </w:r>
    </w:p>
    <w:p>
      <w:pPr>
        <w:spacing w:line="380" w:lineRule="exact"/>
        <w:ind w:firstLine="420"/>
        <w:rPr>
          <w:rFonts w:ascii="宋体" w:hAnsi="宋体"/>
        </w:rPr>
      </w:pPr>
      <w:r>
        <w:rPr>
          <w:rFonts w:hint="eastAsia" w:ascii="宋体" w:hAnsi="宋体"/>
        </w:rPr>
        <w:t>（6）其他与本合同相关的资料。</w:t>
      </w:r>
    </w:p>
    <w:p>
      <w:pPr>
        <w:spacing w:line="380" w:lineRule="exact"/>
        <w:ind w:firstLine="420"/>
        <w:rPr>
          <w:rFonts w:ascii="宋体" w:hAnsi="宋体"/>
        </w:rPr>
      </w:pPr>
      <w:r>
        <w:rPr>
          <w:rFonts w:hint="eastAsia" w:ascii="宋体" w:hAnsi="宋体"/>
        </w:rPr>
        <w:t>（7）</w:t>
      </w:r>
      <w:r>
        <w:rPr>
          <w:rFonts w:hint="eastAsia" w:ascii="宋体" w:hAnsi="宋体" w:cs="宋体"/>
        </w:rPr>
        <w:t>售后</w:t>
      </w:r>
      <w:r>
        <w:rPr>
          <w:rFonts w:hint="eastAsia" w:ascii="宋体" w:hAnsi="宋体"/>
        </w:rPr>
        <w:t>服务承诺</w:t>
      </w:r>
    </w:p>
    <w:p>
      <w:pPr>
        <w:pStyle w:val="2"/>
        <w:rPr>
          <w:rFonts w:ascii="宋体" w:hAnsi="宋体"/>
          <w:szCs w:val="21"/>
        </w:rPr>
      </w:pPr>
      <w:r>
        <w:rPr>
          <w:rFonts w:hint="eastAsia" w:ascii="宋体" w:hAnsi="宋体"/>
          <w:sz w:val="21"/>
          <w:szCs w:val="22"/>
        </w:rPr>
        <w:t>（</w:t>
      </w:r>
      <w:r>
        <w:rPr>
          <w:rFonts w:hint="eastAsia" w:ascii="宋体" w:hAnsi="宋体"/>
          <w:sz w:val="21"/>
          <w:szCs w:val="22"/>
          <w:lang w:val="en-US"/>
        </w:rPr>
        <w:t>合同签署页</w:t>
      </w:r>
      <w:r>
        <w:rPr>
          <w:rFonts w:hint="eastAsia" w:ascii="宋体" w:hAnsi="宋体"/>
          <w:sz w:val="21"/>
          <w:szCs w:val="22"/>
        </w:rPr>
        <w:t>）</w:t>
      </w:r>
    </w:p>
    <w:p>
      <w:pPr>
        <w:spacing w:line="540" w:lineRule="exact"/>
        <w:rPr>
          <w:rFonts w:ascii="宋体" w:hAnsi="宋体"/>
          <w:szCs w:val="21"/>
          <w:u w:val="single"/>
        </w:rPr>
      </w:pPr>
      <w:r>
        <w:rPr>
          <w:rFonts w:hint="eastAsia" w:ascii="宋体" w:hAnsi="宋体"/>
          <w:szCs w:val="21"/>
        </w:rPr>
        <w:t>甲方（公章）：     乙方（公章）：</w:t>
      </w:r>
    </w:p>
    <w:p>
      <w:pPr>
        <w:spacing w:line="540" w:lineRule="exact"/>
        <w:ind w:left="4620" w:hanging="4620" w:hangingChars="2200"/>
        <w:rPr>
          <w:rFonts w:ascii="宋体" w:hAnsi="宋体"/>
          <w:szCs w:val="21"/>
        </w:rPr>
      </w:pPr>
      <w:r>
        <w:rPr>
          <w:rFonts w:hint="eastAsia" w:ascii="宋体" w:hAnsi="宋体"/>
          <w:szCs w:val="21"/>
        </w:rPr>
        <w:t>法定代表人（签字或盖章）：     法定代表人（签字或盖章）：</w:t>
      </w:r>
    </w:p>
    <w:p>
      <w:pPr>
        <w:spacing w:line="540" w:lineRule="exact"/>
        <w:ind w:left="4620" w:hanging="4620" w:hangingChars="2200"/>
        <w:rPr>
          <w:rFonts w:ascii="宋体" w:hAnsi="宋体"/>
          <w:szCs w:val="21"/>
          <w:u w:val="single"/>
        </w:rPr>
      </w:pPr>
      <w:r>
        <w:rPr>
          <w:rFonts w:hint="eastAsia" w:ascii="宋体" w:hAnsi="宋体"/>
          <w:szCs w:val="21"/>
        </w:rPr>
        <w:t>委托代理人（签字或盖章）：     委托代理人（签字或盖章）：</w:t>
      </w:r>
    </w:p>
    <w:p>
      <w:pPr>
        <w:tabs>
          <w:tab w:val="left" w:pos="5040"/>
        </w:tabs>
        <w:spacing w:line="540" w:lineRule="exact"/>
        <w:rPr>
          <w:rFonts w:ascii="宋体" w:hAnsi="宋体"/>
          <w:szCs w:val="21"/>
          <w:u w:val="single"/>
        </w:rPr>
      </w:pPr>
      <w:r>
        <w:rPr>
          <w:rFonts w:hint="eastAsia" w:ascii="宋体" w:hAnsi="宋体"/>
          <w:szCs w:val="21"/>
        </w:rPr>
        <w:t xml:space="preserve">电  话：     电   话： </w:t>
      </w:r>
    </w:p>
    <w:p>
      <w:pPr>
        <w:tabs>
          <w:tab w:val="left" w:pos="5040"/>
        </w:tabs>
        <w:spacing w:line="540" w:lineRule="exact"/>
        <w:rPr>
          <w:rFonts w:ascii="宋体" w:hAnsi="宋体"/>
          <w:szCs w:val="21"/>
        </w:rPr>
      </w:pPr>
      <w:r>
        <w:rPr>
          <w:rFonts w:hint="eastAsia" w:ascii="宋体" w:hAnsi="宋体"/>
          <w:szCs w:val="21"/>
        </w:rPr>
        <w:t>开户名称：     开户名称：</w:t>
      </w:r>
    </w:p>
    <w:p>
      <w:pPr>
        <w:tabs>
          <w:tab w:val="left" w:pos="5040"/>
        </w:tabs>
        <w:spacing w:line="540" w:lineRule="exact"/>
        <w:rPr>
          <w:rFonts w:ascii="宋体" w:hAnsi="宋体"/>
          <w:szCs w:val="21"/>
          <w:u w:val="single"/>
        </w:rPr>
      </w:pPr>
      <w:r>
        <w:rPr>
          <w:rFonts w:hint="eastAsia" w:ascii="宋体" w:hAnsi="宋体"/>
          <w:szCs w:val="21"/>
        </w:rPr>
        <w:t>开户银行：     开户银行：</w:t>
      </w:r>
    </w:p>
    <w:p>
      <w:pPr>
        <w:tabs>
          <w:tab w:val="left" w:pos="5040"/>
        </w:tabs>
        <w:spacing w:line="540" w:lineRule="exact"/>
        <w:rPr>
          <w:rFonts w:ascii="宋体" w:hAnsi="宋体"/>
          <w:szCs w:val="21"/>
          <w:u w:val="single"/>
        </w:rPr>
      </w:pPr>
      <w:r>
        <w:rPr>
          <w:rFonts w:hint="eastAsia" w:ascii="宋体" w:hAnsi="宋体"/>
          <w:szCs w:val="21"/>
        </w:rPr>
        <w:t>银行账号：     银行账号：</w:t>
      </w:r>
    </w:p>
    <w:p>
      <w:pPr>
        <w:tabs>
          <w:tab w:val="left" w:pos="5040"/>
        </w:tabs>
        <w:spacing w:line="540" w:lineRule="exact"/>
      </w:pPr>
      <w:r>
        <w:rPr>
          <w:rFonts w:hint="eastAsia" w:ascii="宋体" w:hAnsi="宋体"/>
          <w:szCs w:val="21"/>
        </w:rPr>
        <w:t>日    期：     日    期：</w:t>
      </w:r>
    </w:p>
    <w:sectPr>
      <w:headerReference r:id="rId6" w:type="first"/>
      <w:footerReference r:id="rId9" w:type="first"/>
      <w:headerReference r:id="rId4" w:type="default"/>
      <w:footerReference r:id="rId7" w:type="default"/>
      <w:headerReference r:id="rId5" w:type="even"/>
      <w:footerReference r:id="rId8" w:type="even"/>
      <w:pgSz w:w="11906" w:h="16838"/>
      <w:pgMar w:top="1417" w:right="1134" w:bottom="1440" w:left="1587"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康简魏碑">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CS楷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5</w:t>
    </w:r>
    <w:r>
      <w:fldChar w:fldCharType="end"/>
    </w: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520" w:lineRule="exact"/>
      <w:jc w:val="right"/>
      <w:rPr>
        <w:rFonts w:eastAsia="宋体"/>
        <w:szCs w:val="21"/>
      </w:rPr>
    </w:pPr>
    <w:r>
      <w:rPr>
        <w:rFonts w:hint="eastAsia" w:eastAsia="宋体"/>
        <w:szCs w:val="21"/>
      </w:rPr>
      <w:drawing>
        <wp:anchor distT="0" distB="0" distL="114300" distR="114300" simplePos="0" relativeHeight="251657216" behindDoc="0" locked="0" layoutInCell="1" allowOverlap="1">
          <wp:simplePos x="0" y="0"/>
          <wp:positionH relativeFrom="column">
            <wp:posOffset>3757930</wp:posOffset>
          </wp:positionH>
          <wp:positionV relativeFrom="paragraph">
            <wp:posOffset>33020</wp:posOffset>
          </wp:positionV>
          <wp:extent cx="251460" cy="323850"/>
          <wp:effectExtent l="0" t="0" r="15240" b="0"/>
          <wp:wrapNone/>
          <wp:docPr id="3" name="图片 3" descr="集团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2"/>
                  <pic:cNvPicPr>
                    <a:picLocks noChangeAspect="1"/>
                  </pic:cNvPicPr>
                </pic:nvPicPr>
                <pic:blipFill>
                  <a:blip r:embed="rId1"/>
                  <a:stretch>
                    <a:fillRect/>
                  </a:stretch>
                </pic:blipFill>
                <pic:spPr>
                  <a:xfrm>
                    <a:off x="0" y="0"/>
                    <a:ext cx="251460" cy="323850"/>
                  </a:xfrm>
                  <a:prstGeom prst="rect">
                    <a:avLst/>
                  </a:prstGeom>
                </pic:spPr>
              </pic:pic>
            </a:graphicData>
          </a:graphic>
        </wp:anchor>
      </w:drawing>
    </w:r>
    <w:r>
      <w:rPr>
        <w:rFonts w:hint="eastAsia" w:eastAsia="宋体"/>
        <w:szCs w:val="21"/>
      </w:rPr>
      <w:t>项目编号：交投</w:t>
    </w:r>
    <w:r>
      <w:rPr>
        <w:rFonts w:eastAsia="宋体"/>
        <w:szCs w:val="21"/>
      </w:rPr>
      <w:t xml:space="preserve"> </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20" w:lineRule="exact"/>
      <w:jc w:val="right"/>
      <w:rPr>
        <w:rFonts w:eastAsia="宋体"/>
        <w:szCs w:val="21"/>
      </w:rPr>
    </w:pPr>
    <w:r>
      <w:rPr>
        <w:rFonts w:hint="eastAsia" w:eastAsia="宋体"/>
        <w:szCs w:val="21"/>
      </w:rPr>
      <w:drawing>
        <wp:anchor distT="0" distB="0" distL="114300" distR="114300" simplePos="0" relativeHeight="251659264" behindDoc="0" locked="0" layoutInCell="1" allowOverlap="1">
          <wp:simplePos x="0" y="0"/>
          <wp:positionH relativeFrom="column">
            <wp:posOffset>3119755</wp:posOffset>
          </wp:positionH>
          <wp:positionV relativeFrom="paragraph">
            <wp:posOffset>52070</wp:posOffset>
          </wp:positionV>
          <wp:extent cx="251460" cy="323850"/>
          <wp:effectExtent l="0" t="0" r="15240" b="0"/>
          <wp:wrapNone/>
          <wp:docPr id="1" name="图片 1" descr="集团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logo2"/>
                  <pic:cNvPicPr>
                    <a:picLocks noChangeAspect="1"/>
                  </pic:cNvPicPr>
                </pic:nvPicPr>
                <pic:blipFill>
                  <a:blip r:embed="rId1"/>
                  <a:stretch>
                    <a:fillRect/>
                  </a:stretch>
                </pic:blipFill>
                <pic:spPr>
                  <a:xfrm>
                    <a:off x="0" y="0"/>
                    <a:ext cx="251460" cy="323850"/>
                  </a:xfrm>
                  <a:prstGeom prst="rect">
                    <a:avLst/>
                  </a:prstGeom>
                </pic:spPr>
              </pic:pic>
            </a:graphicData>
          </a:graphic>
        </wp:anchor>
      </w:drawing>
    </w:r>
    <w:r>
      <w:rPr>
        <w:rFonts w:hint="eastAsia" w:eastAsia="宋体"/>
        <w:szCs w:val="21"/>
      </w:rPr>
      <w:t xml:space="preserve">项目编号：交投DEPBGSBCG-2020-12-002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C7339B6"/>
    <w:multiLevelType w:val="multilevel"/>
    <w:tmpl w:val="3C7339B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3">
    <w:nsid w:val="7C977953"/>
    <w:multiLevelType w:val="singleLevel"/>
    <w:tmpl w:val="7C977953"/>
    <w:lvl w:ilvl="0" w:tentative="0">
      <w:start w:val="10"/>
      <w:numFmt w:val="chineseCounting"/>
      <w:suff w:val="nothing"/>
      <w:lvlText w:val="第%1条　"/>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331"/>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3F7"/>
    <w:rsid w:val="00016D0F"/>
    <w:rsid w:val="000464A5"/>
    <w:rsid w:val="0006512E"/>
    <w:rsid w:val="00075572"/>
    <w:rsid w:val="00076AB6"/>
    <w:rsid w:val="00085DFD"/>
    <w:rsid w:val="000A0A09"/>
    <w:rsid w:val="000A3DC4"/>
    <w:rsid w:val="000B34F1"/>
    <w:rsid w:val="000B4B73"/>
    <w:rsid w:val="000C1E40"/>
    <w:rsid w:val="000E1225"/>
    <w:rsid w:val="000F53AD"/>
    <w:rsid w:val="000F646E"/>
    <w:rsid w:val="001015ED"/>
    <w:rsid w:val="00102935"/>
    <w:rsid w:val="0010313B"/>
    <w:rsid w:val="00117B40"/>
    <w:rsid w:val="00122F25"/>
    <w:rsid w:val="00126D48"/>
    <w:rsid w:val="0013220D"/>
    <w:rsid w:val="001325D5"/>
    <w:rsid w:val="00141CFF"/>
    <w:rsid w:val="00142A1B"/>
    <w:rsid w:val="00156AA5"/>
    <w:rsid w:val="00172A27"/>
    <w:rsid w:val="0018107C"/>
    <w:rsid w:val="001A4773"/>
    <w:rsid w:val="001B13B1"/>
    <w:rsid w:val="001C658F"/>
    <w:rsid w:val="001D008B"/>
    <w:rsid w:val="001E50E0"/>
    <w:rsid w:val="001F0B5C"/>
    <w:rsid w:val="001F6BA3"/>
    <w:rsid w:val="0020770E"/>
    <w:rsid w:val="0021317E"/>
    <w:rsid w:val="00225EF0"/>
    <w:rsid w:val="00226B72"/>
    <w:rsid w:val="002331F8"/>
    <w:rsid w:val="00235ED4"/>
    <w:rsid w:val="002913C4"/>
    <w:rsid w:val="002948B1"/>
    <w:rsid w:val="002B38D8"/>
    <w:rsid w:val="002B7971"/>
    <w:rsid w:val="002C2F2C"/>
    <w:rsid w:val="002D15EE"/>
    <w:rsid w:val="002D6E09"/>
    <w:rsid w:val="002F6240"/>
    <w:rsid w:val="00302AAE"/>
    <w:rsid w:val="00342D40"/>
    <w:rsid w:val="00351D6B"/>
    <w:rsid w:val="00374D89"/>
    <w:rsid w:val="003B2044"/>
    <w:rsid w:val="003C16A6"/>
    <w:rsid w:val="003E01FF"/>
    <w:rsid w:val="003E3D53"/>
    <w:rsid w:val="003F1ECF"/>
    <w:rsid w:val="003F72E2"/>
    <w:rsid w:val="003F7E1B"/>
    <w:rsid w:val="00404BC4"/>
    <w:rsid w:val="00420F17"/>
    <w:rsid w:val="0043256B"/>
    <w:rsid w:val="0044541C"/>
    <w:rsid w:val="004515E9"/>
    <w:rsid w:val="00455EB1"/>
    <w:rsid w:val="00472507"/>
    <w:rsid w:val="00476841"/>
    <w:rsid w:val="00491FCE"/>
    <w:rsid w:val="004D2029"/>
    <w:rsid w:val="004D383B"/>
    <w:rsid w:val="004D4270"/>
    <w:rsid w:val="004E66D4"/>
    <w:rsid w:val="005115FC"/>
    <w:rsid w:val="005600EF"/>
    <w:rsid w:val="005A35B6"/>
    <w:rsid w:val="005B5B23"/>
    <w:rsid w:val="0062744B"/>
    <w:rsid w:val="006358E7"/>
    <w:rsid w:val="00636AA4"/>
    <w:rsid w:val="00640D25"/>
    <w:rsid w:val="00643207"/>
    <w:rsid w:val="006436A4"/>
    <w:rsid w:val="00651F38"/>
    <w:rsid w:val="006521EF"/>
    <w:rsid w:val="006A12DB"/>
    <w:rsid w:val="006A1C08"/>
    <w:rsid w:val="006A1F20"/>
    <w:rsid w:val="006C6E06"/>
    <w:rsid w:val="00720C39"/>
    <w:rsid w:val="00722D3C"/>
    <w:rsid w:val="00734F8D"/>
    <w:rsid w:val="0073782D"/>
    <w:rsid w:val="0074148D"/>
    <w:rsid w:val="00760B17"/>
    <w:rsid w:val="007755D3"/>
    <w:rsid w:val="007837B9"/>
    <w:rsid w:val="007A3B20"/>
    <w:rsid w:val="007A466D"/>
    <w:rsid w:val="007C217C"/>
    <w:rsid w:val="007D265E"/>
    <w:rsid w:val="007F6FF2"/>
    <w:rsid w:val="0080375C"/>
    <w:rsid w:val="00832E67"/>
    <w:rsid w:val="008347C2"/>
    <w:rsid w:val="0083626C"/>
    <w:rsid w:val="0088680C"/>
    <w:rsid w:val="008971BA"/>
    <w:rsid w:val="008B62C7"/>
    <w:rsid w:val="008C31D9"/>
    <w:rsid w:val="008D2C00"/>
    <w:rsid w:val="008F7490"/>
    <w:rsid w:val="00911B24"/>
    <w:rsid w:val="00917653"/>
    <w:rsid w:val="009421DA"/>
    <w:rsid w:val="009663D1"/>
    <w:rsid w:val="00973CB0"/>
    <w:rsid w:val="00986B5F"/>
    <w:rsid w:val="00997AF8"/>
    <w:rsid w:val="009A567C"/>
    <w:rsid w:val="009A592F"/>
    <w:rsid w:val="009D4DC5"/>
    <w:rsid w:val="009F042A"/>
    <w:rsid w:val="009F3571"/>
    <w:rsid w:val="009F40A0"/>
    <w:rsid w:val="009F4882"/>
    <w:rsid w:val="00A01BF1"/>
    <w:rsid w:val="00A056CD"/>
    <w:rsid w:val="00A174D4"/>
    <w:rsid w:val="00A52A19"/>
    <w:rsid w:val="00A70130"/>
    <w:rsid w:val="00A70ACA"/>
    <w:rsid w:val="00A805BC"/>
    <w:rsid w:val="00A96092"/>
    <w:rsid w:val="00AA615A"/>
    <w:rsid w:val="00AC02A2"/>
    <w:rsid w:val="00AD27D6"/>
    <w:rsid w:val="00AF33F7"/>
    <w:rsid w:val="00AF7D45"/>
    <w:rsid w:val="00B04933"/>
    <w:rsid w:val="00B05E06"/>
    <w:rsid w:val="00B11E01"/>
    <w:rsid w:val="00B24499"/>
    <w:rsid w:val="00B26BA4"/>
    <w:rsid w:val="00B341E4"/>
    <w:rsid w:val="00B73CBD"/>
    <w:rsid w:val="00B73E59"/>
    <w:rsid w:val="00B865B1"/>
    <w:rsid w:val="00B9502B"/>
    <w:rsid w:val="00B96BF8"/>
    <w:rsid w:val="00BA3B39"/>
    <w:rsid w:val="00BA62B2"/>
    <w:rsid w:val="00BB3C80"/>
    <w:rsid w:val="00BB5629"/>
    <w:rsid w:val="00BE3BAC"/>
    <w:rsid w:val="00BE5AB4"/>
    <w:rsid w:val="00BF5181"/>
    <w:rsid w:val="00C234D1"/>
    <w:rsid w:val="00C262F7"/>
    <w:rsid w:val="00C74F25"/>
    <w:rsid w:val="00C92E0A"/>
    <w:rsid w:val="00CA3434"/>
    <w:rsid w:val="00CB3BCB"/>
    <w:rsid w:val="00CC2C47"/>
    <w:rsid w:val="00CD016A"/>
    <w:rsid w:val="00D03E8D"/>
    <w:rsid w:val="00D0681C"/>
    <w:rsid w:val="00D07953"/>
    <w:rsid w:val="00D109C6"/>
    <w:rsid w:val="00D16195"/>
    <w:rsid w:val="00D250D3"/>
    <w:rsid w:val="00D33FE1"/>
    <w:rsid w:val="00D4176C"/>
    <w:rsid w:val="00D474FA"/>
    <w:rsid w:val="00D64FC4"/>
    <w:rsid w:val="00D7450C"/>
    <w:rsid w:val="00D85914"/>
    <w:rsid w:val="00D9298C"/>
    <w:rsid w:val="00D92C50"/>
    <w:rsid w:val="00DA6755"/>
    <w:rsid w:val="00DB127C"/>
    <w:rsid w:val="00DB3043"/>
    <w:rsid w:val="00DC6521"/>
    <w:rsid w:val="00DF7A06"/>
    <w:rsid w:val="00E15DF9"/>
    <w:rsid w:val="00E17C3F"/>
    <w:rsid w:val="00E237C9"/>
    <w:rsid w:val="00E6709F"/>
    <w:rsid w:val="00E71B27"/>
    <w:rsid w:val="00E7286C"/>
    <w:rsid w:val="00E728C6"/>
    <w:rsid w:val="00E81BD1"/>
    <w:rsid w:val="00EA07B8"/>
    <w:rsid w:val="00EB4B42"/>
    <w:rsid w:val="00F137F2"/>
    <w:rsid w:val="00F20267"/>
    <w:rsid w:val="00F23145"/>
    <w:rsid w:val="00F273A7"/>
    <w:rsid w:val="00F34164"/>
    <w:rsid w:val="00F374F4"/>
    <w:rsid w:val="00F65ECE"/>
    <w:rsid w:val="00F71849"/>
    <w:rsid w:val="00F85154"/>
    <w:rsid w:val="00F94D0C"/>
    <w:rsid w:val="00FB26FB"/>
    <w:rsid w:val="00FB47FA"/>
    <w:rsid w:val="00FC0FF3"/>
    <w:rsid w:val="00FC545B"/>
    <w:rsid w:val="024D3467"/>
    <w:rsid w:val="02695207"/>
    <w:rsid w:val="029A6FF1"/>
    <w:rsid w:val="029F5CB3"/>
    <w:rsid w:val="02EB3911"/>
    <w:rsid w:val="03132383"/>
    <w:rsid w:val="038E1135"/>
    <w:rsid w:val="04000557"/>
    <w:rsid w:val="053749E2"/>
    <w:rsid w:val="0571344E"/>
    <w:rsid w:val="072000E8"/>
    <w:rsid w:val="084A20D4"/>
    <w:rsid w:val="0860628C"/>
    <w:rsid w:val="08E33244"/>
    <w:rsid w:val="09E619AC"/>
    <w:rsid w:val="0AAD6E2A"/>
    <w:rsid w:val="0AB60F59"/>
    <w:rsid w:val="0AF215B9"/>
    <w:rsid w:val="0B03338F"/>
    <w:rsid w:val="0B1D31CA"/>
    <w:rsid w:val="0B224899"/>
    <w:rsid w:val="0CD92CBC"/>
    <w:rsid w:val="0D323730"/>
    <w:rsid w:val="0D39082A"/>
    <w:rsid w:val="0DCA1E20"/>
    <w:rsid w:val="0E0C6E62"/>
    <w:rsid w:val="0E1644FF"/>
    <w:rsid w:val="0E3E53F0"/>
    <w:rsid w:val="0F69160F"/>
    <w:rsid w:val="1071523A"/>
    <w:rsid w:val="10DF130A"/>
    <w:rsid w:val="112B4666"/>
    <w:rsid w:val="119C00C4"/>
    <w:rsid w:val="123E70FB"/>
    <w:rsid w:val="12430963"/>
    <w:rsid w:val="12811ED2"/>
    <w:rsid w:val="12CB0B7D"/>
    <w:rsid w:val="133C1E94"/>
    <w:rsid w:val="1428427E"/>
    <w:rsid w:val="14484DF5"/>
    <w:rsid w:val="146D4BBF"/>
    <w:rsid w:val="14F73269"/>
    <w:rsid w:val="15463692"/>
    <w:rsid w:val="156D0079"/>
    <w:rsid w:val="18A61591"/>
    <w:rsid w:val="18E514AD"/>
    <w:rsid w:val="190633B6"/>
    <w:rsid w:val="192867F0"/>
    <w:rsid w:val="19882891"/>
    <w:rsid w:val="19F74033"/>
    <w:rsid w:val="1C3368C2"/>
    <w:rsid w:val="1C8F6D09"/>
    <w:rsid w:val="1DD320FD"/>
    <w:rsid w:val="1E9C7E8C"/>
    <w:rsid w:val="1EB6467F"/>
    <w:rsid w:val="1F7C5DD5"/>
    <w:rsid w:val="20514493"/>
    <w:rsid w:val="205E7926"/>
    <w:rsid w:val="21734EB9"/>
    <w:rsid w:val="224565D6"/>
    <w:rsid w:val="224E6AAD"/>
    <w:rsid w:val="22A05E44"/>
    <w:rsid w:val="23B621E8"/>
    <w:rsid w:val="23EA1E8A"/>
    <w:rsid w:val="254460BE"/>
    <w:rsid w:val="256E1B8E"/>
    <w:rsid w:val="2603773E"/>
    <w:rsid w:val="26B139B0"/>
    <w:rsid w:val="26CC41A6"/>
    <w:rsid w:val="26F238A6"/>
    <w:rsid w:val="27074D82"/>
    <w:rsid w:val="290537C6"/>
    <w:rsid w:val="2B517E99"/>
    <w:rsid w:val="2BB52393"/>
    <w:rsid w:val="2C0F61F8"/>
    <w:rsid w:val="2CCE5BFA"/>
    <w:rsid w:val="2E271D73"/>
    <w:rsid w:val="2E4B5689"/>
    <w:rsid w:val="2E9C2392"/>
    <w:rsid w:val="2EE85E79"/>
    <w:rsid w:val="2F0D3D5A"/>
    <w:rsid w:val="2FD85518"/>
    <w:rsid w:val="30424D81"/>
    <w:rsid w:val="31CD30F9"/>
    <w:rsid w:val="31F05E76"/>
    <w:rsid w:val="322458DF"/>
    <w:rsid w:val="32646066"/>
    <w:rsid w:val="32B91C27"/>
    <w:rsid w:val="32BB1C1D"/>
    <w:rsid w:val="330D35EA"/>
    <w:rsid w:val="331862FB"/>
    <w:rsid w:val="336775D8"/>
    <w:rsid w:val="33A352DA"/>
    <w:rsid w:val="33DE70FE"/>
    <w:rsid w:val="35DE7968"/>
    <w:rsid w:val="371F2D20"/>
    <w:rsid w:val="372B209C"/>
    <w:rsid w:val="37C46885"/>
    <w:rsid w:val="3877252A"/>
    <w:rsid w:val="38783DD3"/>
    <w:rsid w:val="38E92ADB"/>
    <w:rsid w:val="39540FDB"/>
    <w:rsid w:val="39BC4BBC"/>
    <w:rsid w:val="3B446C2A"/>
    <w:rsid w:val="3C16600A"/>
    <w:rsid w:val="3C39402D"/>
    <w:rsid w:val="3C540D29"/>
    <w:rsid w:val="3C627640"/>
    <w:rsid w:val="3CC41002"/>
    <w:rsid w:val="3D361586"/>
    <w:rsid w:val="3D8A2EE0"/>
    <w:rsid w:val="3DC56330"/>
    <w:rsid w:val="3DFE6EE6"/>
    <w:rsid w:val="3E9B14CE"/>
    <w:rsid w:val="3EC07CEE"/>
    <w:rsid w:val="3F4149DC"/>
    <w:rsid w:val="3F6B0F1C"/>
    <w:rsid w:val="408A6545"/>
    <w:rsid w:val="416B7E99"/>
    <w:rsid w:val="41FB4CEA"/>
    <w:rsid w:val="443C5BB2"/>
    <w:rsid w:val="44670BC9"/>
    <w:rsid w:val="45D30C2B"/>
    <w:rsid w:val="46084F74"/>
    <w:rsid w:val="46161A14"/>
    <w:rsid w:val="47157C32"/>
    <w:rsid w:val="47171321"/>
    <w:rsid w:val="472C08AF"/>
    <w:rsid w:val="481A10A2"/>
    <w:rsid w:val="48294144"/>
    <w:rsid w:val="4850061D"/>
    <w:rsid w:val="48E2476E"/>
    <w:rsid w:val="4AA10626"/>
    <w:rsid w:val="4AFF77C3"/>
    <w:rsid w:val="4B5223B9"/>
    <w:rsid w:val="4B641EB6"/>
    <w:rsid w:val="4BE93C80"/>
    <w:rsid w:val="4C281BD8"/>
    <w:rsid w:val="4D0767F6"/>
    <w:rsid w:val="4E133925"/>
    <w:rsid w:val="4F356A49"/>
    <w:rsid w:val="4F513A83"/>
    <w:rsid w:val="4F871CF9"/>
    <w:rsid w:val="4FF21E94"/>
    <w:rsid w:val="50602C31"/>
    <w:rsid w:val="50D97B0E"/>
    <w:rsid w:val="50F94FB2"/>
    <w:rsid w:val="51520614"/>
    <w:rsid w:val="5154644E"/>
    <w:rsid w:val="529364FB"/>
    <w:rsid w:val="52ED770C"/>
    <w:rsid w:val="537C167A"/>
    <w:rsid w:val="542A51B3"/>
    <w:rsid w:val="547D392B"/>
    <w:rsid w:val="54CA267E"/>
    <w:rsid w:val="54EE7930"/>
    <w:rsid w:val="56F80646"/>
    <w:rsid w:val="574E2A36"/>
    <w:rsid w:val="57581C14"/>
    <w:rsid w:val="57751FF3"/>
    <w:rsid w:val="58111A8C"/>
    <w:rsid w:val="58A7285F"/>
    <w:rsid w:val="58E818B7"/>
    <w:rsid w:val="58F84176"/>
    <w:rsid w:val="58FD7F21"/>
    <w:rsid w:val="59C567FC"/>
    <w:rsid w:val="59D72C21"/>
    <w:rsid w:val="59E40A6E"/>
    <w:rsid w:val="5A5A21E3"/>
    <w:rsid w:val="5A7A0354"/>
    <w:rsid w:val="5A862E3A"/>
    <w:rsid w:val="5AC659FB"/>
    <w:rsid w:val="5B0E1E50"/>
    <w:rsid w:val="5B0E4D62"/>
    <w:rsid w:val="5C935CA7"/>
    <w:rsid w:val="5CD60C2E"/>
    <w:rsid w:val="5D103AF4"/>
    <w:rsid w:val="5D300698"/>
    <w:rsid w:val="5EA6419A"/>
    <w:rsid w:val="5EDF3AC6"/>
    <w:rsid w:val="5F38497E"/>
    <w:rsid w:val="607B6B77"/>
    <w:rsid w:val="60F37F8C"/>
    <w:rsid w:val="61B91E40"/>
    <w:rsid w:val="6223369A"/>
    <w:rsid w:val="62245BB6"/>
    <w:rsid w:val="626110DE"/>
    <w:rsid w:val="637B4F76"/>
    <w:rsid w:val="63AD0C2D"/>
    <w:rsid w:val="64461173"/>
    <w:rsid w:val="64C3189F"/>
    <w:rsid w:val="654C4E54"/>
    <w:rsid w:val="66980EFF"/>
    <w:rsid w:val="66B825DE"/>
    <w:rsid w:val="677515B2"/>
    <w:rsid w:val="67CA2825"/>
    <w:rsid w:val="688F0018"/>
    <w:rsid w:val="69000FF6"/>
    <w:rsid w:val="694E371A"/>
    <w:rsid w:val="695A1A30"/>
    <w:rsid w:val="69661E85"/>
    <w:rsid w:val="6A041B17"/>
    <w:rsid w:val="6AD4630E"/>
    <w:rsid w:val="6B611578"/>
    <w:rsid w:val="6C3C412F"/>
    <w:rsid w:val="6CB266C6"/>
    <w:rsid w:val="6D2A1271"/>
    <w:rsid w:val="6DE3765C"/>
    <w:rsid w:val="6EBA6E9D"/>
    <w:rsid w:val="6EC27371"/>
    <w:rsid w:val="6FE6346C"/>
    <w:rsid w:val="700E7412"/>
    <w:rsid w:val="712C6C3D"/>
    <w:rsid w:val="71D359A1"/>
    <w:rsid w:val="720E6F51"/>
    <w:rsid w:val="7277532F"/>
    <w:rsid w:val="747D55A2"/>
    <w:rsid w:val="75CF5032"/>
    <w:rsid w:val="76102C1D"/>
    <w:rsid w:val="76390484"/>
    <w:rsid w:val="76413A16"/>
    <w:rsid w:val="767272C9"/>
    <w:rsid w:val="76941F13"/>
    <w:rsid w:val="77532CC7"/>
    <w:rsid w:val="77795A9B"/>
    <w:rsid w:val="779736F2"/>
    <w:rsid w:val="782F19D0"/>
    <w:rsid w:val="78616128"/>
    <w:rsid w:val="79600A87"/>
    <w:rsid w:val="7A1A26E5"/>
    <w:rsid w:val="7AF663A8"/>
    <w:rsid w:val="7B47344F"/>
    <w:rsid w:val="7E571A6C"/>
    <w:rsid w:val="7E573B73"/>
    <w:rsid w:val="7EDC5E82"/>
    <w:rsid w:val="7EF8000B"/>
    <w:rsid w:val="7FC911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0"/>
    <w:pPr>
      <w:keepNext/>
      <w:keepLines/>
      <w:spacing w:before="340" w:after="330" w:line="576" w:lineRule="auto"/>
      <w:outlineLvl w:val="0"/>
    </w:pPr>
    <w:rPr>
      <w:rFonts w:ascii="Times New Roman" w:hAnsi="Times New Roman" w:eastAsia="宋体" w:cs="Times New Roman"/>
      <w:b/>
      <w:bCs/>
      <w:kern w:val="44"/>
      <w:sz w:val="44"/>
      <w:szCs w:val="44"/>
      <w:lang w:val="zh-CN"/>
    </w:rPr>
  </w:style>
  <w:style w:type="paragraph" w:styleId="2">
    <w:name w:val="heading 2"/>
    <w:basedOn w:val="1"/>
    <w:next w:val="1"/>
    <w:link w:val="29"/>
    <w:qFormat/>
    <w:uiPriority w:val="0"/>
    <w:pPr>
      <w:keepNext/>
      <w:keepLines/>
      <w:spacing w:before="260" w:after="260" w:line="413" w:lineRule="auto"/>
      <w:outlineLvl w:val="1"/>
    </w:pPr>
    <w:rPr>
      <w:rFonts w:ascii="Arial" w:hAnsi="Arial" w:eastAsia="黑体" w:cs="Times New Roman"/>
      <w:b/>
      <w:bCs/>
      <w:sz w:val="32"/>
      <w:szCs w:val="32"/>
      <w:lang w:val="zh-CN"/>
    </w:rPr>
  </w:style>
  <w:style w:type="paragraph" w:styleId="4">
    <w:name w:val="heading 3"/>
    <w:basedOn w:val="1"/>
    <w:next w:val="1"/>
    <w:link w:val="30"/>
    <w:qFormat/>
    <w:uiPriority w:val="0"/>
    <w:pPr>
      <w:keepNext/>
      <w:keepLines/>
      <w:spacing w:line="600" w:lineRule="exact"/>
      <w:ind w:firstLine="643" w:firstLineChars="200"/>
      <w:outlineLvl w:val="2"/>
    </w:pPr>
    <w:rPr>
      <w:rFonts w:ascii="Times New Roman" w:hAnsi="Times New Roman" w:eastAsia="宋体" w:cs="Times New Roman"/>
      <w:b/>
      <w:bCs/>
      <w:sz w:val="32"/>
      <w:szCs w:val="32"/>
      <w:lang w:val="zh-CN"/>
    </w:rPr>
  </w:style>
  <w:style w:type="paragraph" w:styleId="5">
    <w:name w:val="heading 4"/>
    <w:basedOn w:val="1"/>
    <w:next w:val="1"/>
    <w:link w:val="31"/>
    <w:qFormat/>
    <w:uiPriority w:val="0"/>
    <w:pPr>
      <w:tabs>
        <w:tab w:val="left" w:pos="2155"/>
      </w:tabs>
      <w:adjustRightInd w:val="0"/>
      <w:spacing w:before="120" w:line="360" w:lineRule="auto"/>
      <w:ind w:left="2155" w:hanging="1078"/>
      <w:textAlignment w:val="baseline"/>
      <w:outlineLvl w:val="3"/>
    </w:pPr>
    <w:rPr>
      <w:rFonts w:ascii="Arial" w:hAnsi="Times New Roman" w:eastAsia="黑体" w:cs="Times New Roman"/>
      <w:kern w:val="0"/>
      <w:sz w:val="28"/>
      <w:szCs w:val="20"/>
      <w:lang w:val="zh-CN"/>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4"/>
    <w:unhideWhenUsed/>
    <w:qFormat/>
    <w:uiPriority w:val="99"/>
    <w:rPr>
      <w:rFonts w:ascii="宋体"/>
      <w:sz w:val="18"/>
      <w:szCs w:val="18"/>
    </w:rPr>
  </w:style>
  <w:style w:type="paragraph" w:styleId="7">
    <w:name w:val="annotation text"/>
    <w:basedOn w:val="1"/>
    <w:link w:val="44"/>
    <w:unhideWhenUsed/>
    <w:qFormat/>
    <w:uiPriority w:val="99"/>
    <w:pPr>
      <w:jc w:val="left"/>
    </w:pPr>
  </w:style>
  <w:style w:type="paragraph" w:styleId="8">
    <w:name w:val="Body Text Indent"/>
    <w:basedOn w:val="1"/>
    <w:link w:val="42"/>
    <w:qFormat/>
    <w:uiPriority w:val="0"/>
    <w:pPr>
      <w:spacing w:line="200" w:lineRule="exact"/>
      <w:ind w:firstLine="301"/>
    </w:pPr>
    <w:rPr>
      <w:rFonts w:ascii="宋体" w:hAnsi="Courier New"/>
      <w:spacing w:val="-4"/>
      <w:sz w:val="18"/>
    </w:rPr>
  </w:style>
  <w:style w:type="paragraph" w:styleId="9">
    <w:name w:val="Plain Text"/>
    <w:basedOn w:val="1"/>
    <w:link w:val="33"/>
    <w:qFormat/>
    <w:uiPriority w:val="0"/>
    <w:rPr>
      <w:rFonts w:ascii="宋体" w:hAnsi="Courier New" w:eastAsia="宋体"/>
    </w:rPr>
  </w:style>
  <w:style w:type="paragraph" w:styleId="10">
    <w:name w:val="Date"/>
    <w:basedOn w:val="1"/>
    <w:next w:val="1"/>
    <w:link w:val="39"/>
    <w:qFormat/>
    <w:uiPriority w:val="0"/>
    <w:pPr>
      <w:ind w:left="100" w:leftChars="2500"/>
    </w:pPr>
    <w:rPr>
      <w:szCs w:val="24"/>
    </w:rPr>
  </w:style>
  <w:style w:type="paragraph" w:styleId="11">
    <w:name w:val="Body Text Indent 2"/>
    <w:basedOn w:val="1"/>
    <w:link w:val="41"/>
    <w:qFormat/>
    <w:uiPriority w:val="0"/>
    <w:pPr>
      <w:spacing w:after="120" w:line="480" w:lineRule="auto"/>
      <w:ind w:left="420" w:leftChars="200"/>
    </w:pPr>
    <w:rPr>
      <w:szCs w:val="24"/>
    </w:rPr>
  </w:style>
  <w:style w:type="paragraph" w:styleId="12">
    <w:name w:val="Balloon Text"/>
    <w:basedOn w:val="1"/>
    <w:link w:val="40"/>
    <w:qFormat/>
    <w:uiPriority w:val="0"/>
    <w:rPr>
      <w:sz w:val="18"/>
      <w:szCs w:val="18"/>
    </w:rPr>
  </w:style>
  <w:style w:type="paragraph" w:styleId="13">
    <w:name w:val="footer"/>
    <w:basedOn w:val="1"/>
    <w:link w:val="35"/>
    <w:qFormat/>
    <w:uiPriority w:val="99"/>
    <w:pPr>
      <w:tabs>
        <w:tab w:val="center" w:pos="4153"/>
        <w:tab w:val="right" w:pos="8306"/>
      </w:tabs>
      <w:snapToGrid w:val="0"/>
      <w:jc w:val="left"/>
    </w:pPr>
    <w:rPr>
      <w:sz w:val="18"/>
      <w:szCs w:val="18"/>
    </w:rPr>
  </w:style>
  <w:style w:type="paragraph" w:styleId="14">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16">
    <w:name w:val="toc 2"/>
    <w:basedOn w:val="1"/>
    <w:next w:val="1"/>
    <w:qFormat/>
    <w:uiPriority w:val="39"/>
    <w:pPr>
      <w:tabs>
        <w:tab w:val="right" w:leader="dot" w:pos="9628"/>
      </w:tabs>
      <w:ind w:left="420" w:firstLine="120"/>
      <w:jc w:val="left"/>
    </w:pPr>
    <w:rPr>
      <w:rFonts w:ascii="Times New Roman" w:hAnsi="Times New Roman" w:eastAsia="宋体" w:cs="Times New Roman"/>
      <w:smallCaps/>
      <w:sz w:val="20"/>
      <w:szCs w:val="20"/>
    </w:rPr>
  </w:style>
  <w:style w:type="paragraph" w:styleId="17">
    <w:name w:val="toc 9"/>
    <w:basedOn w:val="1"/>
    <w:next w:val="1"/>
    <w:semiHidden/>
    <w:unhideWhenUsed/>
    <w:qFormat/>
    <w:uiPriority w:val="39"/>
    <w:pPr>
      <w:ind w:left="3360" w:leftChars="1600"/>
    </w:pPr>
  </w:style>
  <w:style w:type="paragraph" w:styleId="18">
    <w:name w:val="Normal (Web)"/>
    <w:basedOn w:val="1"/>
    <w:semiHidden/>
    <w:unhideWhenUsed/>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19">
    <w:name w:val="annotation subject"/>
    <w:basedOn w:val="7"/>
    <w:next w:val="7"/>
    <w:link w:val="38"/>
    <w:semiHidden/>
    <w:qFormat/>
    <w:uiPriority w:val="0"/>
    <w:rPr>
      <w:b/>
      <w:bCs/>
      <w:szCs w:val="24"/>
    </w:rPr>
  </w:style>
  <w:style w:type="paragraph" w:styleId="20">
    <w:name w:val="Body Text First Indent 2"/>
    <w:basedOn w:val="8"/>
    <w:link w:val="68"/>
    <w:unhideWhenUsed/>
    <w:qFormat/>
    <w:uiPriority w:val="99"/>
    <w:pPr>
      <w:spacing w:after="120" w:line="240" w:lineRule="auto"/>
      <w:ind w:left="420" w:leftChars="200" w:firstLine="420" w:firstLineChars="200"/>
    </w:pPr>
    <w:rPr>
      <w:rFonts w:ascii="Times New Roman" w:hAnsi="Times New Roman" w:eastAsia="宋体" w:cs="Times New Roman"/>
      <w:spacing w:val="0"/>
      <w:sz w:val="21"/>
      <w:szCs w:val="24"/>
    </w:r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5">
    <w:name w:val="Emphasis"/>
    <w:basedOn w:val="22"/>
    <w:qFormat/>
    <w:uiPriority w:val="20"/>
    <w:rPr>
      <w:i/>
    </w:rPr>
  </w:style>
  <w:style w:type="character" w:styleId="26">
    <w:name w:val="Hyperlink"/>
    <w:qFormat/>
    <w:uiPriority w:val="99"/>
    <w:rPr>
      <w:color w:val="0000FF"/>
      <w:u w:val="single"/>
    </w:rPr>
  </w:style>
  <w:style w:type="character" w:styleId="27">
    <w:name w:val="annotation reference"/>
    <w:basedOn w:val="22"/>
    <w:qFormat/>
    <w:uiPriority w:val="99"/>
    <w:rPr>
      <w:sz w:val="21"/>
      <w:szCs w:val="21"/>
    </w:rPr>
  </w:style>
  <w:style w:type="character" w:customStyle="1" w:styleId="28">
    <w:name w:val="标题 1 字符"/>
    <w:basedOn w:val="22"/>
    <w:link w:val="3"/>
    <w:qFormat/>
    <w:uiPriority w:val="0"/>
    <w:rPr>
      <w:rFonts w:ascii="Times New Roman" w:hAnsi="Times New Roman" w:eastAsia="宋体" w:cs="Times New Roman"/>
      <w:b/>
      <w:bCs/>
      <w:kern w:val="44"/>
      <w:sz w:val="44"/>
      <w:szCs w:val="44"/>
      <w:lang w:val="zh-CN" w:eastAsia="zh-CN"/>
    </w:rPr>
  </w:style>
  <w:style w:type="character" w:customStyle="1" w:styleId="29">
    <w:name w:val="标题 2 字符"/>
    <w:basedOn w:val="22"/>
    <w:link w:val="2"/>
    <w:qFormat/>
    <w:uiPriority w:val="0"/>
    <w:rPr>
      <w:rFonts w:ascii="Arial" w:hAnsi="Arial" w:eastAsia="黑体" w:cs="Times New Roman"/>
      <w:b/>
      <w:bCs/>
      <w:sz w:val="32"/>
      <w:szCs w:val="32"/>
      <w:lang w:val="zh-CN" w:eastAsia="zh-CN"/>
    </w:rPr>
  </w:style>
  <w:style w:type="character" w:customStyle="1" w:styleId="30">
    <w:name w:val="标题 3 字符"/>
    <w:basedOn w:val="22"/>
    <w:link w:val="4"/>
    <w:qFormat/>
    <w:uiPriority w:val="0"/>
    <w:rPr>
      <w:rFonts w:ascii="Times New Roman" w:hAnsi="Times New Roman" w:eastAsia="宋体" w:cs="Times New Roman"/>
      <w:b/>
      <w:bCs/>
      <w:sz w:val="32"/>
      <w:szCs w:val="32"/>
      <w:lang w:val="zh-CN" w:eastAsia="zh-CN"/>
    </w:rPr>
  </w:style>
  <w:style w:type="character" w:customStyle="1" w:styleId="31">
    <w:name w:val="标题 4 字符"/>
    <w:basedOn w:val="22"/>
    <w:link w:val="5"/>
    <w:qFormat/>
    <w:uiPriority w:val="0"/>
    <w:rPr>
      <w:rFonts w:ascii="Arial" w:hAnsi="Times New Roman" w:eastAsia="黑体" w:cs="Times New Roman"/>
      <w:kern w:val="0"/>
      <w:sz w:val="28"/>
      <w:szCs w:val="20"/>
      <w:lang w:val="zh-CN" w:eastAsia="zh-CN"/>
    </w:rPr>
  </w:style>
  <w:style w:type="paragraph" w:customStyle="1" w:styleId="32">
    <w:name w:val="_Style 1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3">
    <w:name w:val="纯文本 字符"/>
    <w:link w:val="9"/>
    <w:qFormat/>
    <w:uiPriority w:val="0"/>
    <w:rPr>
      <w:rFonts w:ascii="宋体" w:hAnsi="Courier New" w:eastAsia="宋体"/>
    </w:rPr>
  </w:style>
  <w:style w:type="character" w:customStyle="1" w:styleId="34">
    <w:name w:val="文档结构图 字符"/>
    <w:link w:val="6"/>
    <w:qFormat/>
    <w:uiPriority w:val="99"/>
    <w:rPr>
      <w:rFonts w:ascii="宋体"/>
      <w:sz w:val="18"/>
      <w:szCs w:val="18"/>
    </w:rPr>
  </w:style>
  <w:style w:type="character" w:customStyle="1" w:styleId="35">
    <w:name w:val="页脚 字符"/>
    <w:link w:val="13"/>
    <w:qFormat/>
    <w:uiPriority w:val="99"/>
    <w:rPr>
      <w:sz w:val="18"/>
      <w:szCs w:val="18"/>
    </w:rPr>
  </w:style>
  <w:style w:type="character" w:customStyle="1" w:styleId="36">
    <w:name w:val="批注文字 Char"/>
    <w:qFormat/>
    <w:uiPriority w:val="0"/>
    <w:rPr>
      <w:kern w:val="2"/>
      <w:sz w:val="21"/>
      <w:szCs w:val="24"/>
    </w:rPr>
  </w:style>
  <w:style w:type="character" w:customStyle="1" w:styleId="37">
    <w:name w:val="apple-converted-space"/>
    <w:basedOn w:val="22"/>
    <w:qFormat/>
    <w:uiPriority w:val="0"/>
  </w:style>
  <w:style w:type="character" w:customStyle="1" w:styleId="38">
    <w:name w:val="批注主题 字符"/>
    <w:link w:val="19"/>
    <w:semiHidden/>
    <w:qFormat/>
    <w:uiPriority w:val="0"/>
    <w:rPr>
      <w:b/>
      <w:bCs/>
      <w:szCs w:val="24"/>
    </w:rPr>
  </w:style>
  <w:style w:type="character" w:customStyle="1" w:styleId="39">
    <w:name w:val="日期 字符"/>
    <w:link w:val="10"/>
    <w:qFormat/>
    <w:uiPriority w:val="0"/>
    <w:rPr>
      <w:szCs w:val="24"/>
    </w:rPr>
  </w:style>
  <w:style w:type="character" w:customStyle="1" w:styleId="40">
    <w:name w:val="批注框文本 字符"/>
    <w:link w:val="12"/>
    <w:qFormat/>
    <w:uiPriority w:val="0"/>
    <w:rPr>
      <w:sz w:val="18"/>
      <w:szCs w:val="18"/>
    </w:rPr>
  </w:style>
  <w:style w:type="character" w:customStyle="1" w:styleId="41">
    <w:name w:val="正文文本缩进 2 字符"/>
    <w:link w:val="11"/>
    <w:qFormat/>
    <w:uiPriority w:val="0"/>
    <w:rPr>
      <w:szCs w:val="24"/>
    </w:rPr>
  </w:style>
  <w:style w:type="character" w:customStyle="1" w:styleId="42">
    <w:name w:val="正文文本缩进 字符"/>
    <w:link w:val="8"/>
    <w:qFormat/>
    <w:uiPriority w:val="0"/>
    <w:rPr>
      <w:rFonts w:ascii="宋体" w:hAnsi="Courier New"/>
      <w:spacing w:val="-4"/>
      <w:sz w:val="18"/>
    </w:rPr>
  </w:style>
  <w:style w:type="character" w:customStyle="1" w:styleId="43">
    <w:name w:val="页眉 字符"/>
    <w:link w:val="14"/>
    <w:qFormat/>
    <w:uiPriority w:val="0"/>
    <w:rPr>
      <w:sz w:val="18"/>
      <w:szCs w:val="18"/>
    </w:rPr>
  </w:style>
  <w:style w:type="character" w:customStyle="1" w:styleId="44">
    <w:name w:val="批注文字 字符"/>
    <w:basedOn w:val="22"/>
    <w:link w:val="7"/>
    <w:qFormat/>
    <w:uiPriority w:val="99"/>
  </w:style>
  <w:style w:type="character" w:customStyle="1" w:styleId="45">
    <w:name w:val="批注主题 Char1"/>
    <w:basedOn w:val="44"/>
    <w:semiHidden/>
    <w:qFormat/>
    <w:uiPriority w:val="99"/>
    <w:rPr>
      <w:b/>
      <w:bCs/>
    </w:rPr>
  </w:style>
  <w:style w:type="character" w:customStyle="1" w:styleId="46">
    <w:name w:val="正文文本缩进 Char1"/>
    <w:basedOn w:val="22"/>
    <w:semiHidden/>
    <w:qFormat/>
    <w:uiPriority w:val="99"/>
  </w:style>
  <w:style w:type="character" w:customStyle="1" w:styleId="47">
    <w:name w:val="文档结构图 Char1"/>
    <w:basedOn w:val="22"/>
    <w:semiHidden/>
    <w:qFormat/>
    <w:uiPriority w:val="99"/>
    <w:rPr>
      <w:rFonts w:ascii="宋体" w:eastAsia="宋体"/>
      <w:sz w:val="18"/>
      <w:szCs w:val="18"/>
    </w:rPr>
  </w:style>
  <w:style w:type="character" w:customStyle="1" w:styleId="48">
    <w:name w:val="页眉 Char1"/>
    <w:basedOn w:val="22"/>
    <w:semiHidden/>
    <w:qFormat/>
    <w:uiPriority w:val="99"/>
    <w:rPr>
      <w:sz w:val="18"/>
      <w:szCs w:val="18"/>
    </w:rPr>
  </w:style>
  <w:style w:type="character" w:customStyle="1" w:styleId="49">
    <w:name w:val="页脚 Char1"/>
    <w:basedOn w:val="22"/>
    <w:semiHidden/>
    <w:qFormat/>
    <w:uiPriority w:val="99"/>
    <w:rPr>
      <w:sz w:val="18"/>
      <w:szCs w:val="18"/>
    </w:rPr>
  </w:style>
  <w:style w:type="character" w:customStyle="1" w:styleId="50">
    <w:name w:val="日期 Char1"/>
    <w:basedOn w:val="22"/>
    <w:semiHidden/>
    <w:qFormat/>
    <w:uiPriority w:val="99"/>
  </w:style>
  <w:style w:type="character" w:customStyle="1" w:styleId="51">
    <w:name w:val="批注框文本 Char1"/>
    <w:basedOn w:val="22"/>
    <w:semiHidden/>
    <w:qFormat/>
    <w:uiPriority w:val="99"/>
    <w:rPr>
      <w:sz w:val="18"/>
      <w:szCs w:val="18"/>
    </w:rPr>
  </w:style>
  <w:style w:type="character" w:customStyle="1" w:styleId="52">
    <w:name w:val="纯文本 Char1"/>
    <w:basedOn w:val="22"/>
    <w:semiHidden/>
    <w:qFormat/>
    <w:uiPriority w:val="0"/>
    <w:rPr>
      <w:rFonts w:ascii="宋体" w:hAnsi="Courier New" w:eastAsia="宋体" w:cs="Courier New"/>
      <w:szCs w:val="21"/>
    </w:rPr>
  </w:style>
  <w:style w:type="character" w:customStyle="1" w:styleId="53">
    <w:name w:val="正文文本缩进 2 Char1"/>
    <w:basedOn w:val="22"/>
    <w:semiHidden/>
    <w:qFormat/>
    <w:uiPriority w:val="99"/>
  </w:style>
  <w:style w:type="paragraph" w:customStyle="1" w:styleId="54">
    <w:name w:val="Char"/>
    <w:basedOn w:val="1"/>
    <w:qFormat/>
    <w:uiPriority w:val="0"/>
    <w:rPr>
      <w:rFonts w:ascii="Times New Roman" w:hAnsi="Times New Roman" w:eastAsia="宋体" w:cs="Times New Roman"/>
      <w:szCs w:val="24"/>
    </w:rPr>
  </w:style>
  <w:style w:type="paragraph" w:customStyle="1" w:styleId="55">
    <w:name w:val="样式 标题 1 + 居中 段前: 0 磅 段后: 0 磅 行距: 固定值 30 磅"/>
    <w:basedOn w:val="3"/>
    <w:qFormat/>
    <w:uiPriority w:val="0"/>
    <w:pPr>
      <w:spacing w:before="0" w:after="0" w:line="600" w:lineRule="exact"/>
      <w:jc w:val="center"/>
    </w:pPr>
    <w:rPr>
      <w:rFonts w:cs="宋体"/>
      <w:szCs w:val="20"/>
    </w:rPr>
  </w:style>
  <w:style w:type="paragraph" w:customStyle="1" w:styleId="56">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57">
    <w:name w:val="Char Char Char Char Char Char Char"/>
    <w:basedOn w:val="1"/>
    <w:qFormat/>
    <w:uiPriority w:val="0"/>
    <w:rPr>
      <w:rFonts w:ascii="Times New Roman" w:hAnsi="Times New Roman" w:eastAsia="宋体" w:cs="Times New Roman"/>
      <w:szCs w:val="24"/>
    </w:rPr>
  </w:style>
  <w:style w:type="paragraph" w:customStyle="1" w:styleId="58">
    <w:name w:val="Char Char Char1 Char Char Char Char Char Char Char"/>
    <w:basedOn w:val="1"/>
    <w:qFormat/>
    <w:uiPriority w:val="0"/>
    <w:rPr>
      <w:rFonts w:ascii="Times New Roman" w:hAnsi="Times New Roman" w:eastAsia="宋体" w:cs="Times New Roman"/>
      <w:szCs w:val="24"/>
    </w:rPr>
  </w:style>
  <w:style w:type="paragraph" w:customStyle="1" w:styleId="59">
    <w:name w:val="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60">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61">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2">
    <w:name w:val="样式 标题 2 + 非加粗 首行缩进:  2 字符"/>
    <w:basedOn w:val="2"/>
    <w:qFormat/>
    <w:uiPriority w:val="0"/>
    <w:pPr>
      <w:spacing w:before="0" w:after="0" w:line="600" w:lineRule="exact"/>
      <w:ind w:firstLine="640" w:firstLineChars="200"/>
      <w:jc w:val="left"/>
    </w:pPr>
    <w:rPr>
      <w:rFonts w:cs="宋体"/>
      <w:b w:val="0"/>
      <w:bCs w:val="0"/>
      <w:szCs w:val="20"/>
    </w:rPr>
  </w:style>
  <w:style w:type="paragraph" w:customStyle="1" w:styleId="63">
    <w:name w:val="p0"/>
    <w:basedOn w:val="1"/>
    <w:qFormat/>
    <w:uiPriority w:val="0"/>
    <w:pPr>
      <w:widowControl/>
    </w:pPr>
    <w:rPr>
      <w:rFonts w:ascii="Times New Roman" w:hAnsi="Times New Roman" w:eastAsia="宋体" w:cs="Times New Roman"/>
      <w:kern w:val="0"/>
      <w:szCs w:val="21"/>
    </w:rPr>
  </w:style>
  <w:style w:type="paragraph" w:customStyle="1" w:styleId="64">
    <w:name w:val="样式1"/>
    <w:basedOn w:val="1"/>
    <w:qFormat/>
    <w:uiPriority w:val="0"/>
    <w:pPr>
      <w:keepNext/>
      <w:keepLines/>
      <w:topLinePunct/>
      <w:spacing w:line="1200" w:lineRule="auto"/>
      <w:jc w:val="center"/>
      <w:outlineLvl w:val="0"/>
    </w:pPr>
    <w:rPr>
      <w:rFonts w:ascii="Calibri" w:hAnsi="Calibri" w:eastAsia="宋体" w:cs="宋体"/>
      <w:b/>
      <w:kern w:val="44"/>
      <w:sz w:val="52"/>
      <w:szCs w:val="52"/>
    </w:rPr>
  </w:style>
  <w:style w:type="paragraph" w:customStyle="1" w:styleId="65">
    <w:name w:val="纯文本1"/>
    <w:basedOn w:val="1"/>
    <w:qFormat/>
    <w:uiPriority w:val="0"/>
    <w:rPr>
      <w:rFonts w:ascii="宋体" w:hAnsi="Courier New" w:eastAsia="宋体" w:cs="Courier New"/>
      <w:szCs w:val="21"/>
    </w:rPr>
  </w:style>
  <w:style w:type="paragraph" w:customStyle="1" w:styleId="66">
    <w:name w:val="pa-2"/>
    <w:basedOn w:val="1"/>
    <w:qFormat/>
    <w:uiPriority w:val="0"/>
    <w:pPr>
      <w:widowControl/>
      <w:spacing w:line="280" w:lineRule="atLeast"/>
    </w:pPr>
    <w:rPr>
      <w:rFonts w:ascii="宋体" w:hAnsi="宋体" w:eastAsia="宋体" w:cs="宋体"/>
      <w:kern w:val="0"/>
      <w:sz w:val="24"/>
      <w:szCs w:val="24"/>
    </w:rPr>
  </w:style>
  <w:style w:type="paragraph" w:styleId="67">
    <w:name w:val="List Paragraph"/>
    <w:basedOn w:val="1"/>
    <w:unhideWhenUsed/>
    <w:qFormat/>
    <w:uiPriority w:val="99"/>
    <w:pPr>
      <w:ind w:firstLine="420" w:firstLineChars="200"/>
    </w:pPr>
  </w:style>
  <w:style w:type="character" w:customStyle="1" w:styleId="68">
    <w:name w:val="正文文本首行缩进 2 字符"/>
    <w:basedOn w:val="42"/>
    <w:link w:val="20"/>
    <w:qFormat/>
    <w:uiPriority w:val="99"/>
    <w:rPr>
      <w:rFonts w:ascii="宋体" w:hAnsi="Courier New"/>
      <w:spacing w:val="-4"/>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30CA9F-9938-48F0-8B11-817F3B12AFE4}">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44</Pages>
  <Words>4599</Words>
  <Characters>26219</Characters>
  <Lines>218</Lines>
  <Paragraphs>61</Paragraphs>
  <TotalTime>8</TotalTime>
  <ScaleCrop>false</ScaleCrop>
  <LinksUpToDate>false</LinksUpToDate>
  <CharactersWithSpaces>30757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2020-09-02T07:52:00Z</dcterms:created>
  <dc:creator>NTKO</dc:creator>
  <cp:lastModifiedBy>孙小艳</cp:lastModifiedBy>
  <cp:lastPrinted>2020-12-10T01:55:00Z</cp:lastPrinted>
  <dcterms:modified xsi:type="dcterms:W3CDTF">2020-12-15T09:03:24Z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