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雅里回建房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个项目公开聘用评估中介机构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选聘</w:t>
      </w:r>
      <w:r>
        <w:rPr>
          <w:rFonts w:hint="eastAsia"/>
          <w:b/>
          <w:sz w:val="28"/>
          <w:szCs w:val="28"/>
        </w:rPr>
        <w:t>报名表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1559"/>
        <w:gridCol w:w="1418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选聘内容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营业执照编号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</w:t>
            </w:r>
            <w:r>
              <w:rPr>
                <w:rFonts w:hint="eastAsia"/>
                <w:sz w:val="21"/>
                <w:szCs w:val="21"/>
              </w:rPr>
              <w:t>基本情况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是否入选南宁市国资委2017年资产评估类备选库及房地产、土地评估类备选库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2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提交资料清单（按顺序排列）</w:t>
            </w:r>
          </w:p>
        </w:tc>
        <w:tc>
          <w:tcPr>
            <w:tcW w:w="6146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评估机构（盖章）：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联系人及联系电话：</w:t>
      </w:r>
    </w:p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法定代表人（签章）：</w:t>
      </w:r>
    </w:p>
    <w:p>
      <w:pPr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14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Scot</cp:lastModifiedBy>
  <dcterms:modified xsi:type="dcterms:W3CDTF">2019-10-28T02:16:14Z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