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96" w:type="dxa"/>
        <w:tblInd w:w="0" w:type="dxa"/>
        <w:tblLayout w:type="fixed"/>
        <w:tblCellMar>
          <w:top w:w="0" w:type="dxa"/>
          <w:left w:w="0" w:type="dxa"/>
          <w:bottom w:w="0" w:type="dxa"/>
          <w:right w:w="0" w:type="dxa"/>
        </w:tblCellMar>
      </w:tblPr>
      <w:tblGrid>
        <w:gridCol w:w="1068"/>
        <w:gridCol w:w="3483"/>
        <w:gridCol w:w="3203"/>
        <w:gridCol w:w="2742"/>
      </w:tblGrid>
      <w:tr>
        <w:tblPrEx>
          <w:tblLayout w:type="fixed"/>
          <w:tblCellMar>
            <w:top w:w="0" w:type="dxa"/>
            <w:left w:w="0" w:type="dxa"/>
            <w:bottom w:w="0" w:type="dxa"/>
            <w:right w:w="0" w:type="dxa"/>
          </w:tblCellMar>
        </w:tblPrEx>
        <w:trPr>
          <w:trHeight w:val="615" w:hRule="atLeast"/>
        </w:trPr>
        <w:tc>
          <w:tcPr>
            <w:tcW w:w="1049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hint="eastAsia" w:eastAsia="宋体"/>
                <w:b/>
                <w:color w:val="auto"/>
                <w:sz w:val="22"/>
              </w:rPr>
            </w:pPr>
            <w:bookmarkStart w:id="0" w:name="_GoBack"/>
            <w:r>
              <w:rPr>
                <w:rFonts w:hint="eastAsia" w:eastAsia="宋体"/>
                <w:b/>
                <w:color w:val="auto"/>
                <w:sz w:val="28"/>
              </w:rPr>
              <w:t>资产招租清单</w:t>
            </w:r>
            <w:bookmarkEnd w:id="0"/>
          </w:p>
        </w:tc>
      </w:tr>
      <w:tr>
        <w:tblPrEx>
          <w:tblLayout w:type="fixed"/>
          <w:tblCellMar>
            <w:top w:w="0" w:type="dxa"/>
            <w:left w:w="0" w:type="dxa"/>
            <w:bottom w:w="0" w:type="dxa"/>
            <w:right w:w="0" w:type="dxa"/>
          </w:tblCellMar>
        </w:tblPrEx>
        <w:trPr>
          <w:trHeight w:val="61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b/>
                <w:color w:val="auto"/>
                <w:sz w:val="22"/>
              </w:rPr>
            </w:pPr>
            <w:r>
              <w:rPr>
                <w:rFonts w:hint="eastAsia" w:eastAsia="宋体"/>
                <w:b/>
                <w:color w:val="auto"/>
                <w:sz w:val="22"/>
              </w:rPr>
              <w:t>序号</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b/>
                <w:color w:val="auto"/>
                <w:sz w:val="22"/>
              </w:rPr>
            </w:pPr>
            <w:r>
              <w:rPr>
                <w:rFonts w:hint="eastAsia" w:eastAsia="宋体"/>
                <w:b/>
                <w:color w:val="auto"/>
                <w:sz w:val="22"/>
              </w:rPr>
              <w:t>房号</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b/>
                <w:color w:val="auto"/>
                <w:sz w:val="22"/>
              </w:rPr>
            </w:pPr>
            <w:r>
              <w:rPr>
                <w:rFonts w:hint="eastAsia" w:eastAsia="宋体"/>
                <w:b/>
                <w:color w:val="auto"/>
                <w:sz w:val="22"/>
              </w:rPr>
              <w:t>招租参考面积（㎡）</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hint="eastAsia" w:eastAsia="宋体"/>
                <w:b/>
                <w:color w:val="auto"/>
                <w:sz w:val="22"/>
                <w:lang w:eastAsia="zh-CN"/>
              </w:rPr>
            </w:pPr>
            <w:r>
              <w:rPr>
                <w:rFonts w:hint="eastAsia" w:eastAsia="宋体"/>
                <w:b/>
                <w:color w:val="auto"/>
                <w:sz w:val="22"/>
                <w:lang w:val="en-US" w:eastAsia="zh-CN"/>
              </w:rPr>
              <w:t>备注</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101号商铺</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142.52</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商铺</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102号商铺</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43.51</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商铺</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103号流动展位</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113.29</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商业（流动展位）</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104号商铺</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46.09</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商铺</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106号管理用房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49.20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6</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107号管理用房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79.88</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7</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202号管理用房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38.32</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8</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203号管理用房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35.36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9</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204号管理用房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35.36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205号管理用房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38.32</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11</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206号管理用房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29.10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12</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207号管理用房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52.81</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13</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208号管理用房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52.81</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14</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209号管理用房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52.81</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15</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210号管理用房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20.58</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16</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211号流动展位</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69.56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商业（流动展位）</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17</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212号流动展位</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108.46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商业（流动展位）</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18</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213号流动展位</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108.46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商业（流动展位）</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19</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301号管理用房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292.58</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20</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302号管理用房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70.07</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21</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303号管理用房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81.34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22</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305号商铺</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320.50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商铺</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23</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306号管理用房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190.60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24</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307号管理用房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35.53</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25</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308号管理用房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54.84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26</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309号管理用房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71.64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27</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401号管理用房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71.64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28</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402号管理用房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33.02</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29</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403号管理用房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27.76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30</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404号管理用房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48.84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31</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405号管理用房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54.84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32</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406号管理用房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54.84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33</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407号管理用房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39.78</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34</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408号管理用房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54.84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35</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409号管理用房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52.84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36</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410号管理用房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50.84</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管理用房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37</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2-1号工具房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46.20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工具房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38</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2-2号工具房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48.88</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工具房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39</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2-3号工具房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49.00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工具房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40</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3-1号工具房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296.10</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工具房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41</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3-2号工具房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106.46</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工具房</w:t>
            </w:r>
          </w:p>
        </w:tc>
      </w:tr>
      <w:tr>
        <w:tblPrEx>
          <w:tblLayout w:type="fixed"/>
          <w:tblCellMar>
            <w:top w:w="0" w:type="dxa"/>
            <w:left w:w="0" w:type="dxa"/>
            <w:bottom w:w="0" w:type="dxa"/>
            <w:right w:w="0" w:type="dxa"/>
          </w:tblCellMar>
        </w:tblPrEx>
        <w:trPr>
          <w:trHeight w:val="285" w:hRule="atLeast"/>
        </w:trPr>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42</w:t>
            </w:r>
          </w:p>
        </w:tc>
        <w:tc>
          <w:tcPr>
            <w:tcW w:w="3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3-3号工具房</w:t>
            </w:r>
          </w:p>
        </w:tc>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116.52</w:t>
            </w:r>
          </w:p>
        </w:tc>
        <w:tc>
          <w:tcPr>
            <w:tcW w:w="27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eastAsia="宋体"/>
                <w:color w:val="auto"/>
                <w:sz w:val="22"/>
              </w:rPr>
            </w:pPr>
            <w:r>
              <w:rPr>
                <w:rFonts w:hint="eastAsia" w:eastAsia="宋体"/>
                <w:color w:val="auto"/>
                <w:sz w:val="22"/>
              </w:rPr>
              <w:t>工具房</w:t>
            </w:r>
          </w:p>
        </w:tc>
      </w:tr>
    </w:tbl>
    <w:p>
      <w:pPr>
        <w:spacing w:line="440" w:lineRule="exact"/>
        <w:rPr>
          <w:rFonts w:ascii="Times New Roman" w:hAnsi="Times New Roman" w:eastAsia="宋体"/>
          <w:color w:val="auto"/>
          <w:sz w:val="28"/>
        </w:rPr>
      </w:pPr>
    </w:p>
    <w:tbl>
      <w:tblPr>
        <w:tblStyle w:val="4"/>
        <w:tblW w:w="10420" w:type="dxa"/>
        <w:tblInd w:w="0" w:type="dxa"/>
        <w:tblLayout w:type="fixed"/>
        <w:tblCellMar>
          <w:top w:w="0" w:type="dxa"/>
          <w:left w:w="0" w:type="dxa"/>
          <w:bottom w:w="0" w:type="dxa"/>
          <w:right w:w="0" w:type="dxa"/>
        </w:tblCellMar>
      </w:tblPr>
      <w:tblGrid>
        <w:gridCol w:w="1519"/>
        <w:gridCol w:w="8901"/>
      </w:tblGrid>
      <w:tr>
        <w:tblPrEx>
          <w:tblLayout w:type="fixed"/>
          <w:tblCellMar>
            <w:top w:w="0" w:type="dxa"/>
            <w:left w:w="0" w:type="dxa"/>
            <w:bottom w:w="0" w:type="dxa"/>
            <w:right w:w="0" w:type="dxa"/>
          </w:tblCellMar>
        </w:tblPrEx>
        <w:trPr>
          <w:trHeight w:val="146" w:hRule="atLeast"/>
        </w:trPr>
        <w:tc>
          <w:tcPr>
            <w:tcW w:w="151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b/>
                <w:color w:val="auto"/>
                <w:sz w:val="21"/>
              </w:rPr>
            </w:pPr>
            <w:r>
              <w:rPr>
                <w:rFonts w:hint="eastAsia" w:ascii="Times New Roman" w:hAnsi="Times New Roman" w:eastAsia="宋体"/>
                <w:b/>
                <w:color w:val="auto"/>
                <w:sz w:val="28"/>
              </w:rPr>
              <w:t>竞租人应具备的基本条件</w:t>
            </w:r>
          </w:p>
          <w:p>
            <w:pPr>
              <w:spacing w:line="440" w:lineRule="exact"/>
              <w:jc w:val="center"/>
              <w:rPr>
                <w:color w:val="auto"/>
              </w:rPr>
            </w:pPr>
          </w:p>
        </w:tc>
        <w:tc>
          <w:tcPr>
            <w:tcW w:w="8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jc w:val="left"/>
              <w:rPr>
                <w:rFonts w:hint="eastAsia" w:ascii="Times New Roman" w:hAnsi="Times New Roman" w:eastAsia="宋体"/>
                <w:color w:val="auto"/>
                <w:sz w:val="28"/>
                <w:lang w:val="en-US" w:eastAsia="zh-CN"/>
              </w:rPr>
            </w:pPr>
            <w:r>
              <w:rPr>
                <w:rFonts w:ascii="Times New Roman" w:hAnsi="Times New Roman" w:eastAsia="宋体"/>
                <w:color w:val="auto"/>
                <w:sz w:val="28"/>
              </w:rPr>
              <w:t>1</w:t>
            </w:r>
            <w:r>
              <w:rPr>
                <w:rFonts w:hint="eastAsia" w:ascii="Times New Roman" w:hAnsi="Times New Roman" w:eastAsia="宋体"/>
                <w:color w:val="auto"/>
                <w:sz w:val="28"/>
              </w:rPr>
              <w:t>、</w:t>
            </w:r>
            <w:r>
              <w:rPr>
                <w:rFonts w:hint="eastAsia" w:ascii="Times New Roman" w:hAnsi="Times New Roman" w:eastAsia="宋体"/>
                <w:color w:val="auto"/>
                <w:sz w:val="28"/>
                <w:lang w:val="en-US" w:eastAsia="zh-CN"/>
              </w:rPr>
              <w:t>主体要求：</w:t>
            </w:r>
          </w:p>
          <w:p>
            <w:p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1.1</w:t>
            </w:r>
            <w:r>
              <w:rPr>
                <w:rFonts w:hint="eastAsia" w:ascii="Times New Roman" w:hAnsi="Times New Roman" w:eastAsia="宋体"/>
                <w:color w:val="auto"/>
                <w:sz w:val="28"/>
              </w:rPr>
              <w:t>竞租人必须为注册地在广西且具有独立承担民事责任能力的企业法人</w:t>
            </w:r>
            <w:r>
              <w:rPr>
                <w:rFonts w:hint="eastAsia" w:ascii="Times New Roman" w:hAnsi="Times New Roman" w:eastAsia="宋体"/>
                <w:color w:val="auto"/>
                <w:sz w:val="28"/>
                <w:lang w:eastAsia="zh-CN"/>
              </w:rPr>
              <w:t>；</w:t>
            </w:r>
          </w:p>
          <w:p>
            <w:p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1.2</w:t>
            </w:r>
            <w:r>
              <w:rPr>
                <w:rFonts w:hint="eastAsia" w:ascii="Times New Roman" w:hAnsi="Times New Roman" w:eastAsia="宋体"/>
                <w:color w:val="auto"/>
                <w:sz w:val="28"/>
              </w:rPr>
              <w:t>竞租人经营范围须包含物业管理、园林绿化工程的设计与施工、公共停车场服务</w:t>
            </w:r>
            <w:r>
              <w:rPr>
                <w:rFonts w:hint="eastAsia" w:ascii="Times New Roman" w:hAnsi="Times New Roman" w:eastAsia="宋体"/>
                <w:color w:val="auto"/>
                <w:sz w:val="28"/>
                <w:lang w:eastAsia="zh-CN"/>
              </w:rPr>
              <w:t>；</w:t>
            </w:r>
          </w:p>
          <w:p>
            <w:p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1.3</w:t>
            </w:r>
            <w:r>
              <w:rPr>
                <w:rFonts w:hint="eastAsia" w:ascii="Times New Roman" w:hAnsi="Times New Roman" w:eastAsia="宋体"/>
                <w:color w:val="auto"/>
                <w:sz w:val="28"/>
              </w:rPr>
              <w:t>竞租人注册资本不少于人民币5000万元(含5000万元)</w:t>
            </w:r>
            <w:r>
              <w:rPr>
                <w:rFonts w:hint="eastAsia" w:ascii="Times New Roman" w:hAnsi="Times New Roman" w:eastAsia="宋体"/>
                <w:color w:val="auto"/>
                <w:sz w:val="28"/>
                <w:lang w:eastAsia="zh-CN"/>
              </w:rPr>
              <w:t>。</w:t>
            </w:r>
          </w:p>
        </w:tc>
      </w:tr>
      <w:tr>
        <w:tblPrEx>
          <w:tblLayout w:type="fixed"/>
          <w:tblCellMar>
            <w:top w:w="0" w:type="dxa"/>
            <w:left w:w="0" w:type="dxa"/>
            <w:bottom w:w="0" w:type="dxa"/>
            <w:right w:w="0" w:type="dxa"/>
          </w:tblCellMar>
        </w:tblPrEx>
        <w:trPr>
          <w:trHeight w:val="146"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spacing w:line="440" w:lineRule="exact"/>
              <w:ind w:firstLine="56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资信要求：</w:t>
            </w:r>
          </w:p>
          <w:p>
            <w:pPr>
              <w:numPr>
                <w:ilvl w:val="0"/>
                <w:numId w:val="0"/>
              </w:num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2.1</w:t>
            </w:r>
            <w:r>
              <w:rPr>
                <w:rFonts w:hint="eastAsia" w:ascii="Times New Roman" w:hAnsi="Times New Roman" w:eastAsia="宋体"/>
                <w:color w:val="auto"/>
                <w:sz w:val="28"/>
              </w:rPr>
              <w:t>竞租人应提供不少于人民币500万元(含500万元)的银行资金证明</w:t>
            </w:r>
            <w:r>
              <w:rPr>
                <w:rFonts w:hint="eastAsia" w:ascii="Times New Roman" w:hAnsi="Times New Roman" w:eastAsia="宋体"/>
                <w:color w:val="auto"/>
                <w:sz w:val="28"/>
                <w:lang w:eastAsia="zh-CN"/>
              </w:rPr>
              <w:t>（</w:t>
            </w:r>
            <w:r>
              <w:rPr>
                <w:rFonts w:hint="eastAsia" w:ascii="Times New Roman" w:hAnsi="Times New Roman" w:eastAsia="宋体"/>
                <w:color w:val="auto"/>
                <w:sz w:val="28"/>
                <w:lang w:val="en-US" w:eastAsia="zh-CN"/>
              </w:rPr>
              <w:t>验资</w:t>
            </w:r>
            <w:r>
              <w:rPr>
                <w:rFonts w:hint="eastAsia" w:ascii="Times New Roman" w:hAnsi="Times New Roman" w:eastAsia="宋体"/>
                <w:color w:val="auto"/>
                <w:sz w:val="28"/>
                <w:lang w:eastAsia="zh-CN"/>
              </w:rPr>
              <w:t>）；</w:t>
            </w:r>
          </w:p>
          <w:p>
            <w:pPr>
              <w:numPr>
                <w:ilvl w:val="0"/>
                <w:numId w:val="0"/>
              </w:num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2.2</w:t>
            </w:r>
            <w:r>
              <w:rPr>
                <w:rFonts w:hint="eastAsia" w:ascii="Times New Roman" w:hAnsi="Times New Roman" w:eastAsia="宋体"/>
                <w:color w:val="auto"/>
                <w:sz w:val="28"/>
              </w:rPr>
              <w:t>竞租人应按要求在中华人民共和国合法注册并按时年检，近三年无税务部门欠税的不良记录，没有被列入经营诚信黑名单</w:t>
            </w:r>
            <w:r>
              <w:rPr>
                <w:rFonts w:hint="eastAsia" w:ascii="Times New Roman" w:hAnsi="Times New Roman" w:eastAsia="宋体"/>
                <w:color w:val="auto"/>
                <w:sz w:val="28"/>
                <w:lang w:eastAsia="zh-CN"/>
              </w:rPr>
              <w:t>，</w:t>
            </w:r>
            <w:r>
              <w:rPr>
                <w:rFonts w:hint="eastAsia" w:ascii="Times New Roman" w:hAnsi="Times New Roman" w:eastAsia="宋体"/>
                <w:color w:val="auto"/>
                <w:sz w:val="28"/>
                <w:lang w:val="en-US" w:eastAsia="zh-CN"/>
              </w:rPr>
              <w:t>竞租人无违反国家相关法律、法规的行为和其他违法乱纪行为；</w:t>
            </w:r>
          </w:p>
          <w:p>
            <w:pPr>
              <w:numPr>
                <w:ilvl w:val="0"/>
                <w:numId w:val="0"/>
              </w:numPr>
              <w:spacing w:line="440" w:lineRule="exact"/>
              <w:ind w:firstLine="56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2.3竞租人应具有良好的社会信誉、财务状况和支付能力，能够按时支付租金；</w:t>
            </w:r>
          </w:p>
          <w:p>
            <w:pPr>
              <w:numPr>
                <w:ilvl w:val="0"/>
                <w:numId w:val="0"/>
              </w:num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2.4</w:t>
            </w:r>
            <w:r>
              <w:rPr>
                <w:rFonts w:hint="eastAsia" w:ascii="Times New Roman" w:hAnsi="Times New Roman" w:eastAsia="宋体"/>
                <w:color w:val="auto"/>
                <w:sz w:val="28"/>
              </w:rPr>
              <w:t>竞租人不在人民法院、银行等相关机构失信被执行人名单中</w:t>
            </w:r>
            <w:r>
              <w:rPr>
                <w:rFonts w:hint="eastAsia" w:ascii="Times New Roman" w:hAnsi="Times New Roman" w:eastAsia="宋体"/>
                <w:color w:val="auto"/>
                <w:sz w:val="28"/>
                <w:lang w:eastAsia="zh-CN"/>
              </w:rPr>
              <w:t>；</w:t>
            </w:r>
          </w:p>
          <w:p>
            <w:pPr>
              <w:numPr>
                <w:ilvl w:val="0"/>
                <w:numId w:val="0"/>
              </w:numPr>
              <w:spacing w:line="440" w:lineRule="exact"/>
              <w:ind w:firstLine="560"/>
              <w:jc w:val="left"/>
              <w:rPr>
                <w:rFonts w:hint="eastAsia" w:ascii="Times New Roman" w:hAnsi="Times New Roman" w:eastAsia="宋体"/>
                <w:color w:val="auto"/>
                <w:sz w:val="28"/>
                <w:lang w:eastAsia="zh-CN"/>
              </w:rPr>
            </w:pPr>
            <w:r>
              <w:rPr>
                <w:rFonts w:hint="eastAsia" w:ascii="Times New Roman" w:hAnsi="Times New Roman" w:eastAsia="宋体"/>
                <w:color w:val="auto"/>
                <w:sz w:val="28"/>
                <w:lang w:val="en-US" w:eastAsia="zh-CN"/>
              </w:rPr>
              <w:t>2.5</w:t>
            </w:r>
            <w:r>
              <w:rPr>
                <w:rFonts w:hint="eastAsia" w:ascii="Times New Roman" w:hAnsi="Times New Roman" w:eastAsia="宋体"/>
                <w:color w:val="auto"/>
                <w:sz w:val="28"/>
              </w:rPr>
              <w:t>竞租人无被有关行政部门和银行责令停业、财产查封、冻结等情况存在，不处于破产状态或严重亏损状态</w:t>
            </w:r>
            <w:r>
              <w:rPr>
                <w:rFonts w:hint="eastAsia" w:ascii="Times New Roman" w:hAnsi="Times New Roman" w:eastAsia="宋体"/>
                <w:color w:val="auto"/>
                <w:sz w:val="28"/>
                <w:lang w:eastAsia="zh-CN"/>
              </w:rPr>
              <w:t>；</w:t>
            </w:r>
          </w:p>
          <w:p>
            <w:pPr>
              <w:numPr>
                <w:ilvl w:val="0"/>
                <w:numId w:val="0"/>
              </w:numPr>
              <w:spacing w:line="440" w:lineRule="exact"/>
              <w:ind w:firstLine="56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2.6</w:t>
            </w:r>
            <w:r>
              <w:rPr>
                <w:rFonts w:hint="eastAsia" w:ascii="Times New Roman" w:hAnsi="Times New Roman" w:eastAsia="宋体"/>
                <w:color w:val="auto"/>
                <w:sz w:val="28"/>
              </w:rPr>
              <w:t>竞租人不得存在人民法院或仲裁</w:t>
            </w:r>
            <w:r>
              <w:rPr>
                <w:rFonts w:hint="eastAsia" w:ascii="Times New Roman" w:hAnsi="Times New Roman" w:eastAsia="宋体"/>
                <w:color w:val="auto"/>
                <w:sz w:val="28"/>
                <w:lang w:val="en-US" w:eastAsia="zh-CN"/>
              </w:rPr>
              <w:t>机构</w:t>
            </w:r>
            <w:r>
              <w:rPr>
                <w:rFonts w:hint="eastAsia" w:ascii="Times New Roman" w:hAnsi="Times New Roman" w:eastAsia="宋体"/>
                <w:color w:val="auto"/>
                <w:sz w:val="28"/>
              </w:rPr>
              <w:t>有正在执行、协调的纠纷</w:t>
            </w:r>
            <w:r>
              <w:rPr>
                <w:rFonts w:hint="eastAsia" w:ascii="Times New Roman" w:hAnsi="Times New Roman" w:eastAsia="宋体"/>
                <w:color w:val="auto"/>
                <w:sz w:val="28"/>
                <w:lang w:eastAsia="zh-CN"/>
              </w:rPr>
              <w:t>。</w:t>
            </w:r>
          </w:p>
        </w:tc>
      </w:tr>
      <w:tr>
        <w:tblPrEx>
          <w:tblLayout w:type="fixed"/>
          <w:tblCellMar>
            <w:top w:w="0" w:type="dxa"/>
            <w:left w:w="0" w:type="dxa"/>
            <w:bottom w:w="0" w:type="dxa"/>
            <w:right w:w="0" w:type="dxa"/>
          </w:tblCellMar>
        </w:tblPrEx>
        <w:trPr>
          <w:trHeight w:val="146"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spacing w:line="440" w:lineRule="exact"/>
              <w:ind w:left="0" w:leftChars="0" w:firstLine="560" w:firstLineChars="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经验要求（满足3.1或3.2其中之一即可）：</w:t>
            </w:r>
          </w:p>
          <w:p>
            <w:pPr>
              <w:numPr>
                <w:ilvl w:val="0"/>
                <w:numId w:val="0"/>
              </w:numPr>
              <w:spacing w:line="440" w:lineRule="exact"/>
              <w:ind w:firstLine="560" w:firstLineChars="200"/>
              <w:jc w:val="left"/>
              <w:rPr>
                <w:rFonts w:hint="eastAsia" w:ascii="Times New Roman" w:eastAsia="宋体"/>
                <w:color w:val="auto"/>
                <w:sz w:val="28"/>
                <w:lang w:val="en-US" w:eastAsia="zh-CN"/>
              </w:rPr>
            </w:pPr>
            <w:r>
              <w:rPr>
                <w:rFonts w:hint="eastAsia" w:ascii="Times New Roman" w:eastAsia="宋体"/>
                <w:color w:val="auto"/>
                <w:sz w:val="28"/>
                <w:lang w:val="en-US" w:eastAsia="zh-CN"/>
              </w:rPr>
              <w:t>3.1</w:t>
            </w:r>
            <w:r>
              <w:rPr>
                <w:rFonts w:hint="eastAsia" w:ascii="Times New Roman" w:eastAsia="宋体"/>
                <w:color w:val="auto"/>
                <w:sz w:val="28"/>
              </w:rPr>
              <w:t>竞租人</w:t>
            </w:r>
            <w:r>
              <w:rPr>
                <w:rFonts w:hint="eastAsia" w:ascii="Times New Roman" w:eastAsia="宋体"/>
                <w:color w:val="auto"/>
                <w:sz w:val="28"/>
                <w:lang w:val="en-US" w:eastAsia="zh-CN"/>
              </w:rPr>
              <w:t>为</w:t>
            </w:r>
            <w:r>
              <w:rPr>
                <w:rFonts w:ascii="Times New Roman" w:eastAsia="宋体"/>
                <w:color w:val="auto"/>
                <w:sz w:val="28"/>
              </w:rPr>
              <w:t>2017</w:t>
            </w:r>
            <w:r>
              <w:rPr>
                <w:rFonts w:hint="eastAsia" w:ascii="Times New Roman" w:eastAsia="宋体"/>
                <w:color w:val="auto"/>
                <w:sz w:val="28"/>
              </w:rPr>
              <w:t>年度财富世界</w:t>
            </w:r>
            <w:r>
              <w:rPr>
                <w:rFonts w:ascii="Times New Roman" w:eastAsia="宋体"/>
                <w:color w:val="auto"/>
                <w:sz w:val="28"/>
              </w:rPr>
              <w:t>500</w:t>
            </w:r>
            <w:r>
              <w:rPr>
                <w:rFonts w:hint="eastAsia" w:ascii="Times New Roman" w:eastAsia="宋体"/>
                <w:color w:val="auto"/>
                <w:sz w:val="28"/>
              </w:rPr>
              <w:t>强公司（含其</w:t>
            </w:r>
            <w:r>
              <w:rPr>
                <w:rFonts w:hint="eastAsia" w:ascii="Times New Roman" w:eastAsia="宋体"/>
                <w:color w:val="auto"/>
                <w:sz w:val="28"/>
                <w:lang w:val="en-US" w:eastAsia="zh-CN"/>
              </w:rPr>
              <w:t>子公司、</w:t>
            </w:r>
            <w:r>
              <w:rPr>
                <w:rFonts w:hint="eastAsia" w:ascii="Times New Roman" w:eastAsia="宋体"/>
                <w:color w:val="auto"/>
                <w:sz w:val="28"/>
              </w:rPr>
              <w:t>控股股东或控股股东的其他子公司）</w:t>
            </w:r>
            <w:r>
              <w:rPr>
                <w:rFonts w:hint="eastAsia" w:ascii="Times New Roman" w:eastAsia="宋体"/>
                <w:color w:val="auto"/>
                <w:sz w:val="28"/>
                <w:lang w:eastAsia="zh-CN"/>
              </w:rPr>
              <w:t>，</w:t>
            </w:r>
            <w:r>
              <w:rPr>
                <w:rFonts w:hint="eastAsia" w:ascii="Times New Roman" w:eastAsia="宋体"/>
                <w:color w:val="auto"/>
                <w:sz w:val="28"/>
              </w:rPr>
              <w:t>该</w:t>
            </w:r>
            <w:r>
              <w:rPr>
                <w:rFonts w:ascii="Times New Roman" w:eastAsia="宋体"/>
                <w:color w:val="auto"/>
                <w:sz w:val="28"/>
              </w:rPr>
              <w:t>500</w:t>
            </w:r>
            <w:r>
              <w:rPr>
                <w:rFonts w:hint="eastAsia" w:ascii="Times New Roman" w:eastAsia="宋体"/>
                <w:color w:val="auto"/>
                <w:sz w:val="28"/>
              </w:rPr>
              <w:t>强公司必须具有运营</w:t>
            </w:r>
            <w:r>
              <w:rPr>
                <w:rFonts w:ascii="Times New Roman" w:eastAsia="宋体"/>
                <w:color w:val="auto"/>
                <w:sz w:val="28"/>
              </w:rPr>
              <w:t>80</w:t>
            </w:r>
            <w:r>
              <w:rPr>
                <w:rFonts w:hint="eastAsia" w:ascii="Times New Roman" w:eastAsia="宋体"/>
                <w:color w:val="auto"/>
                <w:sz w:val="28"/>
              </w:rPr>
              <w:t>家酒店并在广西区运营有共计</w:t>
            </w:r>
            <w:r>
              <w:rPr>
                <w:rFonts w:ascii="Times New Roman" w:eastAsia="宋体"/>
                <w:color w:val="auto"/>
                <w:sz w:val="28"/>
              </w:rPr>
              <w:t>90</w:t>
            </w:r>
            <w:r>
              <w:rPr>
                <w:rFonts w:hint="eastAsia" w:ascii="Times New Roman" w:eastAsia="宋体"/>
                <w:color w:val="auto"/>
                <w:sz w:val="28"/>
              </w:rPr>
              <w:t>万平方米以上购物中心的商业管理经验，在超过</w:t>
            </w:r>
            <w:r>
              <w:rPr>
                <w:rFonts w:ascii="Times New Roman" w:eastAsia="宋体"/>
                <w:color w:val="auto"/>
                <w:sz w:val="28"/>
              </w:rPr>
              <w:t>3</w:t>
            </w:r>
            <w:r>
              <w:rPr>
                <w:rFonts w:hint="eastAsia" w:ascii="Times New Roman" w:eastAsia="宋体"/>
                <w:color w:val="auto"/>
                <w:sz w:val="28"/>
              </w:rPr>
              <w:t>个国家开设并运营有酒店或商业项目</w:t>
            </w:r>
            <w:r>
              <w:rPr>
                <w:rFonts w:hint="eastAsia" w:ascii="Times New Roman" w:eastAsia="宋体"/>
                <w:color w:val="auto"/>
                <w:sz w:val="28"/>
                <w:lang w:eastAsia="zh-CN"/>
              </w:rPr>
              <w:t>，</w:t>
            </w:r>
            <w:r>
              <w:rPr>
                <w:rFonts w:hint="eastAsia" w:ascii="Times New Roman" w:hAnsi="Times New Roman" w:eastAsia="宋体"/>
                <w:color w:val="auto"/>
                <w:sz w:val="28"/>
              </w:rPr>
              <w:t>获得</w:t>
            </w:r>
            <w:r>
              <w:rPr>
                <w:rFonts w:hint="eastAsia" w:ascii="Times New Roman" w:hAnsi="Times New Roman" w:eastAsia="宋体"/>
                <w:color w:val="auto"/>
                <w:sz w:val="28"/>
                <w:lang w:val="en-US" w:eastAsia="zh-CN"/>
              </w:rPr>
              <w:t>过的</w:t>
            </w:r>
            <w:r>
              <w:rPr>
                <w:rFonts w:hint="eastAsia" w:ascii="Times New Roman" w:hAnsi="Times New Roman" w:eastAsia="宋体"/>
                <w:color w:val="auto"/>
                <w:sz w:val="28"/>
              </w:rPr>
              <w:t>国际奖项</w:t>
            </w:r>
            <w:r>
              <w:rPr>
                <w:rFonts w:ascii="Times New Roman" w:hAnsi="Times New Roman" w:eastAsia="宋体"/>
                <w:color w:val="auto"/>
                <w:sz w:val="28"/>
              </w:rPr>
              <w:t>3</w:t>
            </w:r>
            <w:r>
              <w:rPr>
                <w:rFonts w:hint="eastAsia" w:ascii="Times New Roman" w:hAnsi="Times New Roman" w:eastAsia="宋体"/>
                <w:color w:val="auto"/>
                <w:sz w:val="28"/>
              </w:rPr>
              <w:t>个以上</w:t>
            </w:r>
            <w:r>
              <w:rPr>
                <w:rFonts w:hint="eastAsia" w:ascii="Times New Roman" w:hAnsi="Times New Roman" w:eastAsia="宋体"/>
                <w:color w:val="auto"/>
                <w:sz w:val="28"/>
                <w:lang w:eastAsia="zh-CN"/>
              </w:rPr>
              <w:t>（</w:t>
            </w:r>
            <w:r>
              <w:rPr>
                <w:rFonts w:hint="eastAsia" w:ascii="Times New Roman" w:hAnsi="Times New Roman" w:eastAsia="宋体"/>
                <w:color w:val="auto"/>
                <w:sz w:val="28"/>
                <w:lang w:val="en-US" w:eastAsia="zh-CN"/>
              </w:rPr>
              <w:t>包含3个</w:t>
            </w:r>
            <w:r>
              <w:rPr>
                <w:rFonts w:hint="eastAsia" w:ascii="Times New Roman" w:hAnsi="Times New Roman" w:eastAsia="宋体"/>
                <w:color w:val="auto"/>
                <w:sz w:val="28"/>
                <w:lang w:eastAsia="zh-CN"/>
              </w:rPr>
              <w:t>）</w:t>
            </w:r>
            <w:r>
              <w:rPr>
                <w:rFonts w:hint="eastAsia" w:ascii="Times New Roman" w:eastAsia="宋体"/>
                <w:color w:val="auto"/>
                <w:sz w:val="28"/>
                <w:lang w:eastAsia="zh-CN"/>
              </w:rPr>
              <w:t>。</w:t>
            </w:r>
          </w:p>
          <w:p>
            <w:pPr>
              <w:numPr>
                <w:ilvl w:val="0"/>
                <w:numId w:val="0"/>
              </w:numPr>
              <w:spacing w:line="440" w:lineRule="exact"/>
              <w:ind w:firstLine="560" w:firstLineChars="200"/>
              <w:jc w:val="left"/>
              <w:rPr>
                <w:rFonts w:hint="eastAsia" w:ascii="Times New Roman" w:eastAsia="宋体"/>
                <w:color w:val="auto"/>
                <w:sz w:val="28"/>
                <w:lang w:val="en-US" w:eastAsia="zh-CN"/>
              </w:rPr>
            </w:pPr>
            <w:r>
              <w:rPr>
                <w:rFonts w:hint="eastAsia" w:ascii="Times New Roman" w:eastAsia="宋体"/>
                <w:color w:val="auto"/>
                <w:sz w:val="28"/>
                <w:lang w:val="en-US" w:eastAsia="zh-CN"/>
              </w:rPr>
              <w:t>3.2</w:t>
            </w:r>
            <w:r>
              <w:rPr>
                <w:rFonts w:hint="eastAsia" w:ascii="Times New Roman" w:eastAsia="宋体"/>
                <w:color w:val="auto"/>
                <w:sz w:val="28"/>
              </w:rPr>
              <w:t>竞租人与</w:t>
            </w:r>
            <w:r>
              <w:rPr>
                <w:rFonts w:ascii="Times New Roman" w:eastAsia="宋体"/>
                <w:color w:val="auto"/>
                <w:sz w:val="28"/>
              </w:rPr>
              <w:t>2017</w:t>
            </w:r>
            <w:r>
              <w:rPr>
                <w:rFonts w:hint="eastAsia" w:ascii="Times New Roman" w:eastAsia="宋体"/>
                <w:color w:val="auto"/>
                <w:sz w:val="28"/>
              </w:rPr>
              <w:t>年度财富世界</w:t>
            </w:r>
            <w:r>
              <w:rPr>
                <w:rFonts w:ascii="Times New Roman" w:eastAsia="宋体"/>
                <w:color w:val="auto"/>
                <w:sz w:val="28"/>
              </w:rPr>
              <w:t>500</w:t>
            </w:r>
            <w:r>
              <w:rPr>
                <w:rFonts w:hint="eastAsia" w:ascii="Times New Roman" w:eastAsia="宋体"/>
                <w:color w:val="auto"/>
                <w:sz w:val="28"/>
              </w:rPr>
              <w:t>强公司（含其控股股东或控股股东的其他子公司）</w:t>
            </w:r>
            <w:r>
              <w:rPr>
                <w:rFonts w:hint="eastAsia" w:ascii="Times New Roman" w:eastAsia="宋体"/>
                <w:color w:val="auto"/>
                <w:sz w:val="28"/>
                <w:lang w:val="en-US" w:eastAsia="zh-CN"/>
              </w:rPr>
              <w:t>有</w:t>
            </w:r>
            <w:r>
              <w:rPr>
                <w:rFonts w:hint="eastAsia" w:ascii="Times New Roman" w:eastAsia="宋体"/>
                <w:color w:val="auto"/>
                <w:sz w:val="28"/>
              </w:rPr>
              <w:t>战略合作协议，并必须提供有效战略合作框架协议原件。该</w:t>
            </w:r>
            <w:r>
              <w:rPr>
                <w:rFonts w:ascii="Times New Roman" w:eastAsia="宋体"/>
                <w:color w:val="auto"/>
                <w:sz w:val="28"/>
              </w:rPr>
              <w:t>500</w:t>
            </w:r>
            <w:r>
              <w:rPr>
                <w:rFonts w:hint="eastAsia" w:ascii="Times New Roman" w:eastAsia="宋体"/>
                <w:color w:val="auto"/>
                <w:sz w:val="28"/>
              </w:rPr>
              <w:t>强公司必须具有运营</w:t>
            </w:r>
            <w:r>
              <w:rPr>
                <w:rFonts w:ascii="Times New Roman" w:eastAsia="宋体"/>
                <w:color w:val="auto"/>
                <w:sz w:val="28"/>
              </w:rPr>
              <w:t>80</w:t>
            </w:r>
            <w:r>
              <w:rPr>
                <w:rFonts w:hint="eastAsia" w:ascii="Times New Roman" w:eastAsia="宋体"/>
                <w:color w:val="auto"/>
                <w:sz w:val="28"/>
              </w:rPr>
              <w:t>家酒店并在广西区运营有共计</w:t>
            </w:r>
            <w:r>
              <w:rPr>
                <w:rFonts w:ascii="Times New Roman" w:eastAsia="宋体"/>
                <w:color w:val="auto"/>
                <w:sz w:val="28"/>
              </w:rPr>
              <w:t>90</w:t>
            </w:r>
            <w:r>
              <w:rPr>
                <w:rFonts w:hint="eastAsia" w:ascii="Times New Roman" w:eastAsia="宋体"/>
                <w:color w:val="auto"/>
                <w:sz w:val="28"/>
              </w:rPr>
              <w:t>万平方米以上购物中心的商业管理经验，在超过</w:t>
            </w:r>
            <w:r>
              <w:rPr>
                <w:rFonts w:ascii="Times New Roman" w:eastAsia="宋体"/>
                <w:color w:val="auto"/>
                <w:sz w:val="28"/>
              </w:rPr>
              <w:t>3</w:t>
            </w:r>
            <w:r>
              <w:rPr>
                <w:rFonts w:hint="eastAsia" w:ascii="Times New Roman" w:eastAsia="宋体"/>
                <w:color w:val="auto"/>
                <w:sz w:val="28"/>
              </w:rPr>
              <w:t>个国家开设并运营有酒店或商业项目</w:t>
            </w:r>
            <w:r>
              <w:rPr>
                <w:rFonts w:hint="eastAsia" w:ascii="Times New Roman" w:eastAsia="宋体"/>
                <w:color w:val="auto"/>
                <w:sz w:val="28"/>
                <w:lang w:eastAsia="zh-CN"/>
              </w:rPr>
              <w:t>，</w:t>
            </w:r>
            <w:r>
              <w:rPr>
                <w:rFonts w:hint="eastAsia" w:ascii="Times New Roman" w:hAnsi="Times New Roman" w:eastAsia="宋体"/>
                <w:color w:val="auto"/>
                <w:sz w:val="28"/>
              </w:rPr>
              <w:t>获得</w:t>
            </w:r>
            <w:r>
              <w:rPr>
                <w:rFonts w:hint="eastAsia" w:ascii="Times New Roman" w:hAnsi="Times New Roman" w:eastAsia="宋体"/>
                <w:color w:val="auto"/>
                <w:sz w:val="28"/>
                <w:lang w:val="en-US" w:eastAsia="zh-CN"/>
              </w:rPr>
              <w:t>过的</w:t>
            </w:r>
            <w:r>
              <w:rPr>
                <w:rFonts w:hint="eastAsia" w:ascii="Times New Roman" w:hAnsi="Times New Roman" w:eastAsia="宋体"/>
                <w:color w:val="auto"/>
                <w:sz w:val="28"/>
              </w:rPr>
              <w:t>国际奖项</w:t>
            </w:r>
            <w:r>
              <w:rPr>
                <w:rFonts w:ascii="Times New Roman" w:hAnsi="Times New Roman" w:eastAsia="宋体"/>
                <w:color w:val="auto"/>
                <w:sz w:val="28"/>
              </w:rPr>
              <w:t>3</w:t>
            </w:r>
            <w:r>
              <w:rPr>
                <w:rFonts w:hint="eastAsia" w:ascii="Times New Roman" w:hAnsi="Times New Roman" w:eastAsia="宋体"/>
                <w:color w:val="auto"/>
                <w:sz w:val="28"/>
              </w:rPr>
              <w:t>个以上</w:t>
            </w:r>
            <w:r>
              <w:rPr>
                <w:rFonts w:hint="eastAsia" w:ascii="Times New Roman" w:hAnsi="Times New Roman" w:eastAsia="宋体"/>
                <w:color w:val="auto"/>
                <w:sz w:val="28"/>
                <w:lang w:eastAsia="zh-CN"/>
              </w:rPr>
              <w:t>（</w:t>
            </w:r>
            <w:r>
              <w:rPr>
                <w:rFonts w:hint="eastAsia" w:ascii="Times New Roman" w:hAnsi="Times New Roman" w:eastAsia="宋体"/>
                <w:color w:val="auto"/>
                <w:sz w:val="28"/>
                <w:lang w:val="en-US" w:eastAsia="zh-CN"/>
              </w:rPr>
              <w:t>包含3个</w:t>
            </w:r>
            <w:r>
              <w:rPr>
                <w:rFonts w:hint="eastAsia" w:ascii="Times New Roman" w:hAnsi="Times New Roman" w:eastAsia="宋体"/>
                <w:color w:val="auto"/>
                <w:sz w:val="28"/>
                <w:lang w:eastAsia="zh-CN"/>
              </w:rPr>
              <w:t>）</w:t>
            </w:r>
            <w:r>
              <w:rPr>
                <w:rFonts w:hint="eastAsia" w:ascii="Times New Roman" w:hAnsi="Times New Roman" w:eastAsia="宋体"/>
                <w:color w:val="auto"/>
                <w:sz w:val="28"/>
              </w:rPr>
              <w:t>。</w:t>
            </w:r>
          </w:p>
        </w:tc>
      </w:tr>
      <w:tr>
        <w:tblPrEx>
          <w:tblLayout w:type="fixed"/>
          <w:tblCellMar>
            <w:top w:w="0" w:type="dxa"/>
            <w:left w:w="0" w:type="dxa"/>
            <w:bottom w:w="0" w:type="dxa"/>
            <w:right w:w="0" w:type="dxa"/>
          </w:tblCellMar>
        </w:tblPrEx>
        <w:trPr>
          <w:trHeight w:val="146"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spacing w:line="440" w:lineRule="exact"/>
              <w:ind w:left="0" w:leftChars="0" w:firstLine="560" w:firstLineChars="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其他要求：</w:t>
            </w:r>
          </w:p>
          <w:p>
            <w:pPr>
              <w:numPr>
                <w:ilvl w:val="0"/>
                <w:numId w:val="0"/>
              </w:numPr>
              <w:spacing w:line="440" w:lineRule="exact"/>
              <w:ind w:firstLine="560" w:firstLineChars="200"/>
              <w:jc w:val="left"/>
              <w:rPr>
                <w:rFonts w:hint="eastAsia" w:ascii="Times New Roman" w:hAnsi="Times New Roman" w:eastAsia="宋体"/>
                <w:b/>
                <w:bCs/>
                <w:color w:val="auto"/>
                <w:sz w:val="28"/>
                <w:lang w:eastAsia="zh-CN"/>
              </w:rPr>
            </w:pPr>
            <w:r>
              <w:rPr>
                <w:rFonts w:hint="eastAsia" w:ascii="Times New Roman" w:hAnsi="Times New Roman" w:eastAsia="宋体"/>
                <w:color w:val="auto"/>
                <w:sz w:val="28"/>
                <w:lang w:val="en-US" w:eastAsia="zh-CN"/>
              </w:rPr>
              <w:t>4.1</w:t>
            </w:r>
            <w:r>
              <w:rPr>
                <w:rFonts w:hint="eastAsia" w:ascii="Times New Roman" w:hAnsi="Times New Roman" w:eastAsia="宋体"/>
                <w:color w:val="auto"/>
                <w:sz w:val="28"/>
              </w:rPr>
              <w:t>竞租人必须到项目实地勘察并提交《项目运营商业计划书》，项目运营商业计划书必须包含的内容详见</w:t>
            </w:r>
            <w:r>
              <w:rPr>
                <w:rFonts w:hint="eastAsia" w:ascii="Times New Roman" w:hAnsi="Times New Roman" w:eastAsia="宋体"/>
                <w:b/>
                <w:bCs/>
                <w:color w:val="auto"/>
                <w:sz w:val="28"/>
              </w:rPr>
              <w:t>附件</w:t>
            </w:r>
            <w:r>
              <w:rPr>
                <w:rFonts w:hint="eastAsia" w:ascii="Times New Roman" w:hAnsi="Times New Roman" w:eastAsia="宋体"/>
                <w:b/>
                <w:bCs/>
                <w:color w:val="auto"/>
                <w:sz w:val="28"/>
                <w:lang w:val="en-US" w:eastAsia="zh-CN"/>
              </w:rPr>
              <w:t>2</w:t>
            </w:r>
            <w:r>
              <w:rPr>
                <w:rFonts w:hint="eastAsia" w:ascii="Times New Roman" w:hAnsi="Times New Roman" w:eastAsia="宋体"/>
                <w:color w:val="auto"/>
                <w:sz w:val="28"/>
              </w:rPr>
              <w:t>，项目实地勘察</w:t>
            </w:r>
            <w:r>
              <w:rPr>
                <w:rFonts w:hint="eastAsia" w:ascii="Times New Roman" w:hAnsi="Times New Roman" w:eastAsia="宋体"/>
                <w:color w:val="auto"/>
                <w:sz w:val="28"/>
                <w:lang w:val="en-US" w:eastAsia="zh-CN"/>
              </w:rPr>
              <w:t>由重庆瑞隆物业公司盖章确认，联系电话</w:t>
            </w:r>
            <w:r>
              <w:rPr>
                <w:rFonts w:hint="eastAsia" w:ascii="Times New Roman" w:hAnsi="Times New Roman" w:eastAsia="宋体"/>
                <w:color w:val="auto"/>
                <w:sz w:val="28"/>
              </w:rPr>
              <w:t>0771-588</w:t>
            </w:r>
            <w:r>
              <w:rPr>
                <w:rFonts w:hint="eastAsia" w:ascii="Times New Roman" w:hAnsi="Times New Roman" w:eastAsia="宋体"/>
                <w:color w:val="auto"/>
                <w:sz w:val="28"/>
                <w:lang w:val="en-US" w:eastAsia="zh-CN"/>
              </w:rPr>
              <w:t>8181</w:t>
            </w:r>
            <w:r>
              <w:rPr>
                <w:rFonts w:hint="eastAsia" w:ascii="Times New Roman" w:hAnsi="Times New Roman" w:eastAsia="宋体"/>
                <w:color w:val="auto"/>
                <w:sz w:val="28"/>
                <w:lang w:eastAsia="zh-CN"/>
              </w:rPr>
              <w:t>。</w:t>
            </w:r>
          </w:p>
          <w:p>
            <w:pPr>
              <w:numPr>
                <w:ilvl w:val="0"/>
                <w:numId w:val="0"/>
              </w:numPr>
              <w:spacing w:line="440" w:lineRule="exact"/>
              <w:ind w:firstLine="560" w:firstLineChars="20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4.2</w:t>
            </w:r>
            <w:r>
              <w:rPr>
                <w:rFonts w:hint="eastAsia" w:ascii="Times New Roman" w:hAnsi="Times New Roman" w:eastAsia="宋体"/>
                <w:color w:val="auto"/>
                <w:sz w:val="28"/>
              </w:rPr>
              <w:t>本次招租不接受联合体竞租</w:t>
            </w:r>
            <w:r>
              <w:rPr>
                <w:rFonts w:hint="eastAsia" w:ascii="Times New Roman" w:hAnsi="Times New Roman" w:eastAsia="宋体"/>
                <w:color w:val="auto"/>
                <w:sz w:val="28"/>
                <w:lang w:eastAsia="zh-CN"/>
              </w:rPr>
              <w:t>。</w:t>
            </w:r>
          </w:p>
        </w:tc>
      </w:tr>
      <w:tr>
        <w:tblPrEx>
          <w:tblLayout w:type="fixed"/>
          <w:tblCellMar>
            <w:top w:w="0" w:type="dxa"/>
            <w:left w:w="0" w:type="dxa"/>
            <w:bottom w:w="0" w:type="dxa"/>
            <w:right w:w="0" w:type="dxa"/>
          </w:tblCellMar>
        </w:tblPrEx>
        <w:trPr>
          <w:trHeight w:val="136"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jc w:val="left"/>
              <w:rPr>
                <w:rFonts w:hint="eastAsia" w:ascii="Times New Roman" w:hAnsi="Times New Roman" w:eastAsia="宋体"/>
                <w:color w:val="auto"/>
                <w:sz w:val="28"/>
                <w:lang w:val="en-US" w:eastAsia="zh-CN"/>
              </w:rPr>
            </w:pPr>
            <w:r>
              <w:rPr>
                <w:rFonts w:hint="eastAsia" w:ascii="Times New Roman" w:hAnsi="Times New Roman" w:eastAsia="宋体"/>
                <w:color w:val="auto"/>
                <w:sz w:val="28"/>
                <w:lang w:val="en-US" w:eastAsia="zh-CN"/>
              </w:rPr>
              <w:t>5、</w:t>
            </w:r>
            <w:r>
              <w:rPr>
                <w:rFonts w:hint="eastAsia" w:ascii="Times New Roman" w:eastAsia="宋体"/>
                <w:color w:val="auto"/>
                <w:sz w:val="28"/>
              </w:rPr>
              <w:t>符合有关法律法规规定的其他条件。</w:t>
            </w:r>
          </w:p>
        </w:tc>
      </w:tr>
    </w:tbl>
    <w:p>
      <w:pPr>
        <w:spacing w:line="440" w:lineRule="exact"/>
        <w:rPr>
          <w:rFonts w:ascii="Times New Roman" w:hAnsi="Times New Roman" w:eastAsia="宋体"/>
          <w:color w:val="auto"/>
          <w:sz w:val="28"/>
        </w:rPr>
      </w:pPr>
    </w:p>
    <w:tbl>
      <w:tblPr>
        <w:tblStyle w:val="4"/>
        <w:tblW w:w="1042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519"/>
        <w:gridCol w:w="890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6" w:hRule="atLeast"/>
        </w:trPr>
        <w:tc>
          <w:tcPr>
            <w:tcW w:w="1519" w:type="dxa"/>
            <w:vMerge w:val="restart"/>
            <w:tcBorders>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b/>
                <w:color w:val="auto"/>
                <w:sz w:val="28"/>
              </w:rPr>
              <w:t>对承租方的基本条件和要求</w:t>
            </w:r>
          </w:p>
          <w:p>
            <w:pPr>
              <w:spacing w:line="440" w:lineRule="exact"/>
              <w:jc w:val="center"/>
              <w:rPr>
                <w:color w:val="auto"/>
              </w:rPr>
            </w:pPr>
          </w:p>
        </w:tc>
        <w:tc>
          <w:tcPr>
            <w:tcW w:w="8901" w:type="dxa"/>
            <w:tcBorders>
              <w:left w:val="single" w:color="000000" w:sz="4" w:space="0"/>
              <w:bottom w:val="single" w:color="000000" w:sz="4" w:space="0"/>
            </w:tcBorders>
            <w:tcMar>
              <w:top w:w="0" w:type="dxa"/>
              <w:left w:w="108" w:type="dxa"/>
              <w:bottom w:w="0" w:type="dxa"/>
              <w:right w:w="108" w:type="dxa"/>
            </w:tcMar>
            <w:vAlign w:val="center"/>
          </w:tcPr>
          <w:p>
            <w:pPr>
              <w:spacing w:line="440" w:lineRule="exact"/>
              <w:ind w:firstLine="560"/>
              <w:jc w:val="left"/>
              <w:rPr>
                <w:rFonts w:ascii="Times New Roman" w:hAnsi="Times New Roman" w:eastAsia="宋体"/>
                <w:color w:val="auto"/>
                <w:sz w:val="28"/>
              </w:rPr>
            </w:pPr>
            <w:r>
              <w:rPr>
                <w:rFonts w:ascii="Times New Roman" w:hAnsi="Times New Roman" w:eastAsia="宋体"/>
                <w:color w:val="auto"/>
                <w:sz w:val="28"/>
              </w:rPr>
              <w:t>1</w:t>
            </w:r>
            <w:r>
              <w:rPr>
                <w:rFonts w:hint="eastAsia" w:ascii="Times New Roman" w:eastAsia="宋体"/>
                <w:color w:val="auto"/>
                <w:sz w:val="28"/>
              </w:rPr>
              <w:t>、承租方必须在接到交易所通知后</w:t>
            </w:r>
            <w:r>
              <w:rPr>
                <w:rFonts w:ascii="Times New Roman" w:eastAsia="宋体"/>
                <w:color w:val="auto"/>
                <w:sz w:val="28"/>
              </w:rPr>
              <w:t>2</w:t>
            </w:r>
            <w:r>
              <w:rPr>
                <w:rFonts w:hint="eastAsia" w:ascii="Times New Roman" w:eastAsia="宋体"/>
                <w:color w:val="auto"/>
                <w:sz w:val="28"/>
              </w:rPr>
              <w:t>个工作日内签订《成交确认书》或签收《成交通知》，</w:t>
            </w:r>
            <w:r>
              <w:rPr>
                <w:rFonts w:hint="eastAsia" w:ascii="Times New Roman" w:eastAsia="宋体"/>
                <w:b/>
                <w:color w:val="auto"/>
                <w:sz w:val="28"/>
                <w:u w:val="single"/>
              </w:rPr>
              <w:t>同时应向广西联合产权交易所交纳标的成交月租金的</w:t>
            </w:r>
            <w:r>
              <w:rPr>
                <w:rFonts w:ascii="Times New Roman" w:hAnsi="Times New Roman" w:eastAsia="宋体"/>
                <w:b/>
                <w:color w:val="auto"/>
                <w:sz w:val="28"/>
                <w:u w:val="single"/>
              </w:rPr>
              <w:t>50%</w:t>
            </w:r>
            <w:r>
              <w:rPr>
                <w:rFonts w:hint="eastAsia" w:ascii="Times New Roman" w:eastAsia="宋体"/>
                <w:b/>
                <w:color w:val="auto"/>
                <w:sz w:val="28"/>
                <w:u w:val="single"/>
              </w:rPr>
              <w:t>作为产权交易服务费</w:t>
            </w:r>
            <w:r>
              <w:rPr>
                <w:rFonts w:ascii="Times New Roman" w:hAnsi="Times New Roman" w:eastAsia="宋体"/>
                <w:b/>
                <w:color w:val="auto"/>
                <w:sz w:val="28"/>
                <w:u w:val="single"/>
              </w:rPr>
              <w:t>(</w:t>
            </w:r>
            <w:r>
              <w:rPr>
                <w:rFonts w:hint="eastAsia" w:ascii="Times New Roman" w:eastAsia="宋体"/>
                <w:color w:val="auto"/>
                <w:sz w:val="28"/>
              </w:rPr>
              <w:t>承租方交纳的竞租保证金优先转为产权交易服务费，竞租保证金不足以交纳产权交易服务费的，须补足余款</w:t>
            </w:r>
            <w:r>
              <w:rPr>
                <w:rFonts w:ascii="Times New Roman" w:hAnsi="Times New Roman" w:eastAsia="宋体"/>
                <w:color w:val="auto"/>
                <w:sz w:val="28"/>
              </w:rPr>
              <w:t>)</w:t>
            </w:r>
            <w:r>
              <w:rPr>
                <w:rFonts w:hint="eastAsia" w:ascii="Times New Roman" w:eastAsia="宋体"/>
                <w:color w:val="auto"/>
                <w:sz w:val="28"/>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6" w:hRule="atLeast"/>
        </w:trPr>
        <w:tc>
          <w:tcPr>
            <w:tcW w:w="1519" w:type="dxa"/>
            <w:vMerge w:val="continue"/>
            <w:tcBorders>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line="440" w:lineRule="exact"/>
              <w:ind w:firstLine="560"/>
              <w:jc w:val="left"/>
              <w:rPr>
                <w:rFonts w:ascii="Times New Roman" w:hAnsi="Times New Roman" w:eastAsia="宋体"/>
                <w:color w:val="auto"/>
                <w:sz w:val="28"/>
              </w:rPr>
            </w:pPr>
            <w:r>
              <w:rPr>
                <w:rFonts w:ascii="Times New Roman" w:hAnsi="Times New Roman" w:eastAsia="宋体"/>
                <w:color w:val="auto"/>
                <w:sz w:val="28"/>
              </w:rPr>
              <w:t>2</w:t>
            </w:r>
            <w:r>
              <w:rPr>
                <w:rFonts w:hint="eastAsia" w:ascii="Times New Roman" w:eastAsia="宋体"/>
                <w:color w:val="auto"/>
                <w:sz w:val="28"/>
              </w:rPr>
              <w:t>、承租方签订《成交确认书》或签收《成交通知》后</w:t>
            </w:r>
            <w:r>
              <w:rPr>
                <w:rFonts w:ascii="Times New Roman" w:hAnsi="Times New Roman" w:eastAsia="宋体"/>
                <w:color w:val="auto"/>
                <w:sz w:val="28"/>
              </w:rPr>
              <w:t>7</w:t>
            </w:r>
            <w:r>
              <w:rPr>
                <w:rFonts w:hint="eastAsia" w:ascii="Times New Roman" w:eastAsia="宋体"/>
                <w:color w:val="auto"/>
                <w:sz w:val="28"/>
              </w:rPr>
              <w:t>个工作日内</w:t>
            </w:r>
            <w:r>
              <w:rPr>
                <w:rFonts w:hint="eastAsia" w:ascii="Times New Roman" w:hAnsi="Times New Roman" w:eastAsia="宋体"/>
                <w:color w:val="auto"/>
                <w:sz w:val="28"/>
                <w:lang w:val="en-US" w:eastAsia="zh-CN"/>
              </w:rPr>
              <w:t>与出租方签订《租赁合同》</w:t>
            </w:r>
            <w:r>
              <w:rPr>
                <w:rFonts w:hint="eastAsia" w:ascii="Times New Roman" w:eastAsia="宋体"/>
                <w:color w:val="auto"/>
                <w:sz w:val="28"/>
              </w:rPr>
              <w:t>，</w:t>
            </w:r>
            <w:r>
              <w:rPr>
                <w:rFonts w:hint="eastAsia" w:ascii="Times New Roman" w:eastAsia="宋体"/>
                <w:color w:val="auto"/>
                <w:sz w:val="28"/>
                <w:lang w:val="en-US" w:eastAsia="zh-CN"/>
              </w:rPr>
              <w:t>并</w:t>
            </w:r>
            <w:r>
              <w:rPr>
                <w:rFonts w:hint="eastAsia" w:ascii="Times New Roman" w:hAnsi="Times New Roman" w:eastAsia="宋体"/>
                <w:color w:val="auto"/>
                <w:sz w:val="28"/>
              </w:rPr>
              <w:t>将履约保证金及首期租金通过银行转账方式支付给出租方，同时向评估公司支付</w:t>
            </w:r>
            <w:r>
              <w:rPr>
                <w:rFonts w:hint="eastAsia" w:ascii="Times New Roman" w:eastAsia="宋体"/>
                <w:color w:val="auto"/>
                <w:sz w:val="28"/>
              </w:rPr>
              <w:t>因本次公开招租行为而产生的资产市场价值评估费用（人民币</w:t>
            </w:r>
            <w:r>
              <w:rPr>
                <w:rFonts w:ascii="Times New Roman" w:eastAsia="宋体"/>
                <w:color w:val="auto"/>
                <w:sz w:val="28"/>
              </w:rPr>
              <w:t>1.3</w:t>
            </w:r>
            <w:r>
              <w:rPr>
                <w:rFonts w:hint="eastAsia" w:ascii="Times New Roman" w:eastAsia="宋体"/>
                <w:color w:val="auto"/>
                <w:sz w:val="28"/>
              </w:rPr>
              <w:t>万元）</w:t>
            </w:r>
            <w:r>
              <w:rPr>
                <w:rFonts w:hint="eastAsia" w:ascii="Times New Roman" w:hAnsi="Times New Roman" w:eastAsia="宋体"/>
                <w:color w:val="auto"/>
                <w:sz w:val="28"/>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6" w:hRule="atLeast"/>
        </w:trPr>
        <w:tc>
          <w:tcPr>
            <w:tcW w:w="1519" w:type="dxa"/>
            <w:vMerge w:val="continue"/>
            <w:tcBorders>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line="440" w:lineRule="exact"/>
              <w:ind w:firstLine="560"/>
              <w:jc w:val="left"/>
              <w:rPr>
                <w:rFonts w:ascii="Times New Roman" w:eastAsia="宋体"/>
                <w:color w:val="auto"/>
                <w:sz w:val="28"/>
              </w:rPr>
            </w:pPr>
            <w:r>
              <w:rPr>
                <w:rFonts w:ascii="Times New Roman" w:eastAsia="宋体"/>
                <w:color w:val="auto"/>
                <w:sz w:val="28"/>
              </w:rPr>
              <w:t>3</w:t>
            </w:r>
            <w:r>
              <w:rPr>
                <w:rFonts w:hint="eastAsia" w:ascii="Times New Roman" w:eastAsia="宋体"/>
                <w:color w:val="auto"/>
                <w:sz w:val="28"/>
              </w:rPr>
              <w:t>、承租方必须提供经营范围的合法许可证，且自行承担经营过程中的安全责任及其他民事纠纷。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6" w:hRule="atLeast"/>
        </w:trPr>
        <w:tc>
          <w:tcPr>
            <w:tcW w:w="1519" w:type="dxa"/>
            <w:vMerge w:val="continue"/>
            <w:tcBorders>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4</w:t>
            </w:r>
            <w:r>
              <w:rPr>
                <w:rFonts w:hint="eastAsia" w:ascii="Times New Roman" w:eastAsia="宋体"/>
                <w:color w:val="auto"/>
                <w:sz w:val="28"/>
              </w:rPr>
              <w:t>、因政府规划需要征用本次招租资产的，出租方提前</w:t>
            </w:r>
            <w:r>
              <w:rPr>
                <w:rFonts w:ascii="Times New Roman" w:eastAsia="宋体"/>
                <w:color w:val="auto"/>
                <w:sz w:val="28"/>
              </w:rPr>
              <w:t>1</w:t>
            </w:r>
            <w:r>
              <w:rPr>
                <w:rFonts w:hint="eastAsia" w:ascii="Times New Roman" w:eastAsia="宋体"/>
                <w:color w:val="auto"/>
                <w:sz w:val="28"/>
              </w:rPr>
              <w:t>个月通知承租方终止合同，承租方无条件支持并移交承租资产，未使用的租金出租方按实际退还承租方。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6" w:hRule="atLeast"/>
        </w:trPr>
        <w:tc>
          <w:tcPr>
            <w:tcW w:w="1519" w:type="dxa"/>
            <w:vMerge w:val="continue"/>
            <w:tcBorders>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5</w:t>
            </w:r>
            <w:r>
              <w:rPr>
                <w:rFonts w:hint="eastAsia" w:ascii="Times New Roman" w:eastAsia="宋体"/>
                <w:color w:val="auto"/>
                <w:sz w:val="28"/>
              </w:rPr>
              <w:t>、承租方原则上须按资产承租用途经营使用，在经营过程中确须改变资产承租用途的，承租方须遵循资产使用功能与租金相匹配的原则对租金进行相应的调整，调整后的租金不得低于本次竞租单价，且须按当年年租金的增幅（次年年租金在上一年年租金基础上递增</w:t>
            </w:r>
            <w:r>
              <w:rPr>
                <w:rFonts w:ascii="Times New Roman" w:eastAsia="宋体"/>
                <w:color w:val="auto"/>
                <w:sz w:val="28"/>
              </w:rPr>
              <w:t>5%</w:t>
            </w:r>
            <w:r>
              <w:rPr>
                <w:rFonts w:hint="eastAsia" w:ascii="Times New Roman" w:eastAsia="宋体"/>
                <w:color w:val="auto"/>
                <w:sz w:val="28"/>
              </w:rPr>
              <w:t>）确定，并由双方协商签订补充协议即可。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6" w:hRule="atLeast"/>
        </w:trPr>
        <w:tc>
          <w:tcPr>
            <w:tcW w:w="1519" w:type="dxa"/>
            <w:vMerge w:val="continue"/>
            <w:tcBorders>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line="440" w:lineRule="exact"/>
              <w:ind w:firstLine="560"/>
              <w:jc w:val="left"/>
              <w:rPr>
                <w:rFonts w:hint="eastAsia" w:ascii="Times New Roman" w:eastAsia="宋体"/>
                <w:color w:val="auto"/>
                <w:sz w:val="28"/>
              </w:rPr>
            </w:pPr>
            <w:r>
              <w:rPr>
                <w:rFonts w:hint="eastAsia" w:ascii="Times New Roman" w:eastAsia="宋体"/>
                <w:color w:val="auto"/>
                <w:sz w:val="28"/>
                <w:lang w:val="en-US" w:eastAsia="zh-CN"/>
              </w:rPr>
              <w:t>6</w:t>
            </w:r>
            <w:r>
              <w:rPr>
                <w:rFonts w:hint="eastAsia" w:ascii="Times New Roman" w:eastAsia="宋体"/>
                <w:color w:val="auto"/>
                <w:sz w:val="28"/>
              </w:rPr>
              <w:t>、如出现违法经营投诉一经查实，第一次警告处理，第二次计收违约金（违约金以双方签订的租赁合同约定为准），第三次承租方需无条件解除被投诉分户合同。若出现违法经营投诉超过三次（不含三次），一经查实，出租方可单方面解除合同且不需要承担任何费用，未使用的租金出租方不退还承租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6" w:hRule="atLeast"/>
        </w:trPr>
        <w:tc>
          <w:tcPr>
            <w:tcW w:w="1519" w:type="dxa"/>
            <w:vMerge w:val="continue"/>
            <w:tcBorders>
              <w:right w:val="single" w:color="000000" w:sz="4" w:space="0"/>
            </w:tcBorders>
            <w:vAlign w:val="center"/>
          </w:tcPr>
          <w:p>
            <w:pPr>
              <w:widowControl/>
              <w:jc w:val="left"/>
              <w:rPr>
                <w:color w:val="auto"/>
              </w:rPr>
            </w:pPr>
          </w:p>
        </w:tc>
        <w:tc>
          <w:tcPr>
            <w:tcW w:w="8901" w:type="dxa"/>
            <w:tcBorders>
              <w:top w:val="single" w:color="000000" w:sz="4" w:space="0"/>
              <w:left w:val="single" w:color="000000" w:sz="4" w:space="0"/>
            </w:tcBorders>
            <w:tcMar>
              <w:top w:w="0" w:type="dxa"/>
              <w:left w:w="108" w:type="dxa"/>
              <w:bottom w:w="0" w:type="dxa"/>
              <w:right w:w="108" w:type="dxa"/>
            </w:tcMar>
            <w:vAlign w:val="center"/>
          </w:tcPr>
          <w:p>
            <w:pPr>
              <w:spacing w:line="440" w:lineRule="exact"/>
              <w:ind w:firstLine="560"/>
              <w:jc w:val="left"/>
              <w:rPr>
                <w:rFonts w:hint="eastAsia" w:ascii="Times New Roman" w:eastAsia="宋体"/>
                <w:color w:val="auto"/>
                <w:sz w:val="28"/>
              </w:rPr>
            </w:pPr>
            <w:r>
              <w:rPr>
                <w:rFonts w:hint="eastAsia" w:ascii="Times New Roman" w:eastAsia="宋体"/>
                <w:color w:val="auto"/>
                <w:sz w:val="28"/>
                <w:lang w:val="en-US" w:eastAsia="zh-CN"/>
              </w:rPr>
              <w:t>7、竞租完成后，承租方须将商业业态规划方案报出租方备案。</w:t>
            </w:r>
          </w:p>
        </w:tc>
      </w:tr>
    </w:tbl>
    <w:p>
      <w:pPr>
        <w:spacing w:line="440" w:lineRule="exact"/>
        <w:rPr>
          <w:rFonts w:ascii="Times New Roman" w:hAnsi="Times New Roman" w:eastAsia="宋体"/>
          <w:color w:val="auto"/>
          <w:sz w:val="28"/>
        </w:rPr>
      </w:pPr>
    </w:p>
    <w:tbl>
      <w:tblPr>
        <w:tblStyle w:val="4"/>
        <w:tblW w:w="10420" w:type="dxa"/>
        <w:tblInd w:w="0" w:type="dxa"/>
        <w:tblLayout w:type="fixed"/>
        <w:tblCellMar>
          <w:top w:w="0" w:type="dxa"/>
          <w:left w:w="0" w:type="dxa"/>
          <w:bottom w:w="0" w:type="dxa"/>
          <w:right w:w="0" w:type="dxa"/>
        </w:tblCellMar>
      </w:tblPr>
      <w:tblGrid>
        <w:gridCol w:w="2461"/>
        <w:gridCol w:w="7959"/>
      </w:tblGrid>
      <w:tr>
        <w:tblPrEx>
          <w:tblLayout w:type="fixed"/>
          <w:tblCellMar>
            <w:top w:w="0" w:type="dxa"/>
            <w:left w:w="0" w:type="dxa"/>
            <w:bottom w:w="0" w:type="dxa"/>
            <w:right w:w="0" w:type="dxa"/>
          </w:tblCellMar>
        </w:tblPrEx>
        <w:trPr>
          <w:trHeight w:val="547" w:hRule="atLeast"/>
        </w:trPr>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b/>
                <w:color w:val="auto"/>
                <w:sz w:val="21"/>
              </w:rPr>
            </w:pPr>
            <w:r>
              <w:rPr>
                <w:rFonts w:hint="eastAsia" w:ascii="Times New Roman" w:eastAsia="宋体"/>
                <w:b/>
                <w:color w:val="auto"/>
                <w:sz w:val="28"/>
              </w:rPr>
              <w:t>交易方式</w:t>
            </w:r>
          </w:p>
        </w:tc>
        <w:tc>
          <w:tcPr>
            <w:tcW w:w="7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jc w:val="left"/>
              <w:rPr>
                <w:rFonts w:ascii="Times New Roman" w:eastAsia="宋体"/>
                <w:color w:val="auto"/>
                <w:sz w:val="28"/>
              </w:rPr>
            </w:pPr>
            <w:r>
              <w:rPr>
                <w:rFonts w:hint="eastAsia" w:ascii="Times New Roman" w:eastAsia="宋体"/>
                <w:color w:val="auto"/>
                <w:sz w:val="28"/>
              </w:rPr>
              <w:t>挂牌公告期满，报名截止。公开征集只产生一个竞租人，由交易所通知该竞租人签收《成交通知》，并按挂牌价及挂牌条件直接与出租方签订《租赁合同》；征集产生二个或二个以上竞租人的，则以网络竞价方式组织交易。</w:t>
            </w:r>
            <w:r>
              <w:rPr>
                <w:rFonts w:ascii="Times New Roman" w:eastAsia="宋体"/>
                <w:color w:val="auto"/>
                <w:sz w:val="28"/>
              </w:rPr>
              <w:t xml:space="preserve"> </w:t>
            </w:r>
          </w:p>
        </w:tc>
      </w:tr>
    </w:tbl>
    <w:p>
      <w:pPr>
        <w:spacing w:line="440" w:lineRule="exact"/>
        <w:rPr>
          <w:rFonts w:ascii="Times New Roman" w:hAnsi="Times New Roman" w:eastAsia="宋体"/>
          <w:color w:val="auto"/>
          <w:sz w:val="28"/>
        </w:rPr>
      </w:pPr>
    </w:p>
    <w:tbl>
      <w:tblPr>
        <w:tblStyle w:val="4"/>
        <w:tblW w:w="10420" w:type="dxa"/>
        <w:tblInd w:w="0" w:type="dxa"/>
        <w:tblLayout w:type="fixed"/>
        <w:tblCellMar>
          <w:top w:w="0" w:type="dxa"/>
          <w:left w:w="0" w:type="dxa"/>
          <w:bottom w:w="0" w:type="dxa"/>
          <w:right w:w="0" w:type="dxa"/>
        </w:tblCellMar>
      </w:tblPr>
      <w:tblGrid>
        <w:gridCol w:w="1302"/>
        <w:gridCol w:w="9118"/>
      </w:tblGrid>
      <w:tr>
        <w:tblPrEx>
          <w:tblLayout w:type="fixed"/>
          <w:tblCellMar>
            <w:top w:w="0" w:type="dxa"/>
            <w:left w:w="0" w:type="dxa"/>
            <w:bottom w:w="0" w:type="dxa"/>
            <w:right w:w="0" w:type="dxa"/>
          </w:tblCellMar>
        </w:tblPrEx>
        <w:trPr>
          <w:trHeight w:val="1233" w:hRule="atLeast"/>
        </w:trPr>
        <w:tc>
          <w:tcPr>
            <w:tcW w:w="13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rPr>
            </w:pPr>
            <w:r>
              <w:rPr>
                <w:rFonts w:hint="eastAsia" w:eastAsia="宋体"/>
                <w:b/>
                <w:color w:val="auto"/>
                <w:sz w:val="24"/>
              </w:rPr>
              <w:t>竞租申请方式</w:t>
            </w:r>
          </w:p>
        </w:tc>
        <w:tc>
          <w:tcPr>
            <w:tcW w:w="9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jc w:val="left"/>
              <w:rPr>
                <w:rFonts w:hint="eastAsia" w:ascii="Times New Roman" w:eastAsia="宋体"/>
                <w:color w:val="auto"/>
                <w:sz w:val="28"/>
              </w:rPr>
            </w:pPr>
            <w:r>
              <w:rPr>
                <w:rFonts w:hint="eastAsia" w:ascii="Times New Roman" w:eastAsia="宋体"/>
                <w:color w:val="auto"/>
                <w:sz w:val="28"/>
              </w:rPr>
              <w:t>一、竞租人应在挂牌公告期内，向交易所提交《竞租申请与承诺书》及相关材料，并向交易所足额交纳竞租保证金（以到达交易所指定的账户时间为准，竞租保证金不计利息）。交易所在挂牌公告截止后，将竞租人报名情况函告出租方，由出租方按照公告的竞租条件和要求进行竞租人的资格审查并确认竞租人的竞租资格。</w:t>
            </w:r>
          </w:p>
          <w:p>
            <w:pPr>
              <w:spacing w:line="440" w:lineRule="exact"/>
              <w:ind w:firstLine="560"/>
              <w:jc w:val="left"/>
              <w:rPr>
                <w:rFonts w:hint="eastAsia" w:ascii="Times New Roman" w:eastAsia="宋体"/>
                <w:color w:val="auto"/>
                <w:sz w:val="28"/>
              </w:rPr>
            </w:pPr>
            <w:r>
              <w:rPr>
                <w:rFonts w:hint="eastAsia" w:ascii="Times New Roman" w:eastAsia="宋体"/>
                <w:color w:val="auto"/>
                <w:sz w:val="28"/>
              </w:rPr>
              <w:t>二、对符合要求的竞租人，交易所在挂牌公告期满后5个工作日内，统一核对竞租保证金的到账情况。在上述核对工作完成后：</w:t>
            </w:r>
          </w:p>
          <w:p>
            <w:pPr>
              <w:spacing w:line="440" w:lineRule="exact"/>
              <w:ind w:firstLine="560"/>
              <w:jc w:val="left"/>
              <w:rPr>
                <w:rFonts w:hint="eastAsia" w:ascii="Times New Roman" w:eastAsia="宋体"/>
                <w:color w:val="auto"/>
                <w:sz w:val="28"/>
              </w:rPr>
            </w:pPr>
            <w:r>
              <w:rPr>
                <w:rFonts w:hint="eastAsia" w:ascii="Times New Roman" w:eastAsia="宋体"/>
                <w:color w:val="auto"/>
                <w:sz w:val="28"/>
              </w:rPr>
              <w:t>1、对按时足额交纳竞租保证金的竞租人，交易所通知竞租人具有竞租资格，并进入交易程序。</w:t>
            </w:r>
          </w:p>
          <w:p>
            <w:pPr>
              <w:spacing w:line="440" w:lineRule="exact"/>
              <w:ind w:firstLine="560"/>
              <w:jc w:val="left"/>
              <w:rPr>
                <w:rFonts w:eastAsia="宋体"/>
                <w:b/>
                <w:color w:val="auto"/>
                <w:sz w:val="24"/>
              </w:rPr>
            </w:pPr>
            <w:r>
              <w:rPr>
                <w:rFonts w:hint="eastAsia" w:ascii="Times New Roman" w:eastAsia="宋体"/>
                <w:color w:val="auto"/>
                <w:sz w:val="28"/>
              </w:rPr>
              <w:t>2、对未按时或未足额交纳竞租保证金的竞租人，交易所向其发出通知，连同其所提供的资料及交纳的保证金退回申请人。</w:t>
            </w:r>
          </w:p>
        </w:tc>
      </w:tr>
    </w:tbl>
    <w:p>
      <w:pPr>
        <w:spacing w:line="440" w:lineRule="exact"/>
        <w:rPr>
          <w:rFonts w:ascii="Times New Roman" w:hAnsi="Times New Roman" w:eastAsia="宋体"/>
          <w:color w:val="auto"/>
          <w:sz w:val="28"/>
        </w:rPr>
      </w:pPr>
    </w:p>
    <w:tbl>
      <w:tblPr>
        <w:tblStyle w:val="4"/>
        <w:tblW w:w="10420" w:type="dxa"/>
        <w:tblInd w:w="0" w:type="dxa"/>
        <w:tblLayout w:type="fixed"/>
        <w:tblCellMar>
          <w:top w:w="0" w:type="dxa"/>
          <w:left w:w="0" w:type="dxa"/>
          <w:bottom w:w="0" w:type="dxa"/>
          <w:right w:w="0" w:type="dxa"/>
        </w:tblCellMar>
      </w:tblPr>
      <w:tblGrid>
        <w:gridCol w:w="2461"/>
        <w:gridCol w:w="7959"/>
      </w:tblGrid>
      <w:tr>
        <w:tblPrEx>
          <w:tblLayout w:type="fixed"/>
          <w:tblCellMar>
            <w:top w:w="0" w:type="dxa"/>
            <w:left w:w="0" w:type="dxa"/>
            <w:bottom w:w="0" w:type="dxa"/>
            <w:right w:w="0" w:type="dxa"/>
          </w:tblCellMar>
        </w:tblPrEx>
        <w:trPr>
          <w:trHeight w:val="556" w:hRule="atLeast"/>
        </w:trPr>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b/>
                <w:color w:val="auto"/>
                <w:sz w:val="28"/>
              </w:rPr>
              <w:t>竞租申请所需提交的材料</w:t>
            </w:r>
          </w:p>
          <w:p>
            <w:pPr>
              <w:spacing w:line="440" w:lineRule="exact"/>
              <w:jc w:val="center"/>
              <w:rPr>
                <w:color w:val="auto"/>
              </w:rPr>
            </w:pPr>
          </w:p>
        </w:tc>
        <w:tc>
          <w:tcPr>
            <w:tcW w:w="7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jc w:val="left"/>
              <w:rPr>
                <w:rFonts w:ascii="Times New Roman" w:eastAsia="宋体"/>
                <w:color w:val="auto"/>
                <w:sz w:val="28"/>
              </w:rPr>
            </w:pPr>
            <w:r>
              <w:rPr>
                <w:rFonts w:ascii="Times New Roman" w:eastAsia="宋体"/>
                <w:color w:val="auto"/>
                <w:sz w:val="28"/>
              </w:rPr>
              <w:t>1</w:t>
            </w:r>
            <w:r>
              <w:rPr>
                <w:rFonts w:hint="eastAsia" w:ascii="Times New Roman" w:eastAsia="宋体"/>
                <w:color w:val="auto"/>
                <w:sz w:val="28"/>
              </w:rPr>
              <w:t>、《竞租申请与承诺书》（交易所提供范本文件）。</w:t>
            </w:r>
          </w:p>
          <w:p>
            <w:pPr>
              <w:spacing w:line="440" w:lineRule="exact"/>
              <w:ind w:firstLine="560"/>
              <w:jc w:val="left"/>
              <w:rPr>
                <w:rFonts w:hint="eastAsia" w:ascii="Times New Roman" w:eastAsia="宋体"/>
                <w:color w:val="auto"/>
                <w:sz w:val="28"/>
                <w:lang w:val="en-US" w:eastAsia="zh-CN"/>
              </w:rPr>
            </w:pPr>
            <w:r>
              <w:rPr>
                <w:rFonts w:ascii="Times New Roman" w:eastAsia="宋体"/>
                <w:color w:val="auto"/>
                <w:sz w:val="28"/>
              </w:rPr>
              <w:t>2</w:t>
            </w:r>
            <w:r>
              <w:rPr>
                <w:rFonts w:hint="eastAsia" w:ascii="Times New Roman" w:eastAsia="宋体"/>
                <w:color w:val="auto"/>
                <w:sz w:val="28"/>
              </w:rPr>
              <w:t>、营业执照、法定代表人身份证等合法证明文件</w:t>
            </w:r>
            <w:r>
              <w:rPr>
                <w:rFonts w:hint="eastAsia" w:ascii="Times New Roman" w:eastAsia="宋体"/>
                <w:color w:val="auto"/>
                <w:sz w:val="28"/>
                <w:lang w:eastAsia="zh-CN"/>
              </w:rPr>
              <w:t>。</w:t>
            </w:r>
          </w:p>
          <w:p>
            <w:pPr>
              <w:spacing w:line="440" w:lineRule="exact"/>
              <w:ind w:firstLine="560"/>
              <w:jc w:val="left"/>
              <w:rPr>
                <w:rFonts w:hint="eastAsia" w:ascii="Times New Roman" w:eastAsia="宋体"/>
                <w:color w:val="auto"/>
                <w:sz w:val="28"/>
              </w:rPr>
            </w:pPr>
            <w:r>
              <w:rPr>
                <w:rFonts w:ascii="Times New Roman" w:eastAsia="宋体"/>
                <w:color w:val="auto"/>
                <w:sz w:val="28"/>
              </w:rPr>
              <w:t>3</w:t>
            </w:r>
            <w:r>
              <w:rPr>
                <w:rFonts w:hint="eastAsia" w:ascii="Times New Roman" w:eastAsia="宋体"/>
                <w:color w:val="auto"/>
                <w:sz w:val="28"/>
              </w:rPr>
              <w:t>、不少于500万元(含500万元)的银行基本户上的银行资金证明(附银行联系人及查询电话、基本户与资金证明账号相符的相关证明)。</w:t>
            </w:r>
          </w:p>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4</w:t>
            </w:r>
            <w:r>
              <w:rPr>
                <w:rFonts w:hint="eastAsia" w:ascii="Times New Roman" w:eastAsia="宋体"/>
                <w:color w:val="auto"/>
                <w:sz w:val="28"/>
              </w:rPr>
              <w:t>、关于</w:t>
            </w:r>
            <w:r>
              <w:rPr>
                <w:rFonts w:ascii="Times New Roman" w:eastAsia="宋体"/>
                <w:color w:val="auto"/>
                <w:sz w:val="28"/>
              </w:rPr>
              <w:t>2016~2018</w:t>
            </w:r>
            <w:r>
              <w:rPr>
                <w:rFonts w:hint="eastAsia" w:ascii="Times New Roman" w:eastAsia="宋体"/>
                <w:color w:val="auto"/>
                <w:sz w:val="28"/>
              </w:rPr>
              <w:t>年在经营活动中没有重大违法记录、欠税记录和不良信用记录</w:t>
            </w:r>
            <w:r>
              <w:rPr>
                <w:rFonts w:hint="eastAsia" w:ascii="Times New Roman" w:eastAsia="宋体"/>
                <w:color w:val="auto"/>
                <w:sz w:val="28"/>
                <w:lang w:eastAsia="zh-CN"/>
              </w:rPr>
              <w:t>，</w:t>
            </w:r>
            <w:r>
              <w:rPr>
                <w:rFonts w:hint="eastAsia" w:ascii="Times New Roman" w:hAnsi="Times New Roman" w:eastAsia="宋体"/>
                <w:color w:val="auto"/>
                <w:sz w:val="28"/>
                <w:lang w:val="en-US" w:eastAsia="zh-CN"/>
              </w:rPr>
              <w:t>无违反国家相关法律、法规的行为和其他违法乱纪行为</w:t>
            </w:r>
            <w:r>
              <w:rPr>
                <w:rFonts w:hint="eastAsia" w:ascii="Times New Roman" w:eastAsia="宋体"/>
                <w:color w:val="auto"/>
                <w:sz w:val="28"/>
              </w:rPr>
              <w:t>的承诺。（内容自拟）</w:t>
            </w:r>
          </w:p>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5</w:t>
            </w:r>
            <w:r>
              <w:rPr>
                <w:rFonts w:hint="eastAsia" w:ascii="Times New Roman" w:eastAsia="宋体"/>
                <w:color w:val="auto"/>
                <w:sz w:val="28"/>
              </w:rPr>
              <w:t>、在信用中国网站</w:t>
            </w:r>
            <w:r>
              <w:rPr>
                <w:rFonts w:ascii="Times New Roman" w:eastAsia="宋体"/>
                <w:color w:val="auto"/>
                <w:sz w:val="28"/>
              </w:rPr>
              <w:t>(www.creditchina.gov.cn</w:t>
            </w:r>
            <w:r>
              <w:rPr>
                <w:rFonts w:hint="eastAsia" w:ascii="Times New Roman" w:eastAsia="宋体"/>
                <w:color w:val="auto"/>
                <w:sz w:val="28"/>
              </w:rPr>
              <w:t>）关于相关竞租人主体信用的查询结果，内容包括但不限于基础信息、优良记录、负面记录、受惩黑名单，网页截图须显示竞租人名称以及查询结果</w:t>
            </w:r>
            <w:r>
              <w:rPr>
                <w:rFonts w:hint="eastAsia" w:ascii="Times New Roman" w:eastAsia="宋体"/>
                <w:color w:val="auto"/>
                <w:sz w:val="28"/>
                <w:lang w:eastAsia="zh-CN"/>
              </w:rPr>
              <w:t>。</w:t>
            </w:r>
            <w:r>
              <w:rPr>
                <w:rFonts w:hint="eastAsia" w:ascii="Times New Roman" w:eastAsia="宋体"/>
                <w:color w:val="auto"/>
                <w:sz w:val="28"/>
              </w:rPr>
              <w:t>（查询时间为本项目挂牌公告期内即可）</w:t>
            </w:r>
          </w:p>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6</w:t>
            </w:r>
            <w:r>
              <w:rPr>
                <w:rFonts w:hint="eastAsia" w:ascii="Times New Roman" w:eastAsia="宋体"/>
                <w:color w:val="auto"/>
                <w:sz w:val="28"/>
              </w:rPr>
              <w:t>、在中国政府采购网（</w:t>
            </w:r>
            <w:r>
              <w:rPr>
                <w:rFonts w:ascii="Times New Roman" w:eastAsia="宋体"/>
                <w:color w:val="auto"/>
                <w:sz w:val="28"/>
              </w:rPr>
              <w:t>www.ccgp.gov.cn</w:t>
            </w:r>
            <w:r>
              <w:rPr>
                <w:rFonts w:hint="eastAsia" w:ascii="Times New Roman" w:eastAsia="宋体"/>
                <w:color w:val="auto"/>
                <w:sz w:val="28"/>
              </w:rPr>
              <w:t>）关于相关竞租人主体信用的查询结果，内容包括但不限于政府采购严重违法失信行为信息记录网页截图，网页截图须显示竞租人名称以及查询结果。页面中的处罚日期不允许设置起始时间，只能设置截止时间为查询当天日期。（查询时间为本项目挂牌公告期内即可）</w:t>
            </w:r>
          </w:p>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7</w:t>
            </w:r>
            <w:r>
              <w:rPr>
                <w:rFonts w:hint="eastAsia" w:ascii="Times New Roman" w:eastAsia="宋体"/>
                <w:color w:val="auto"/>
                <w:sz w:val="28"/>
              </w:rPr>
              <w:t>、在“中国执行信息公开网”（</w:t>
            </w:r>
            <w:r>
              <w:rPr>
                <w:rFonts w:ascii="Times New Roman" w:eastAsia="宋体"/>
                <w:color w:val="auto"/>
                <w:sz w:val="28"/>
              </w:rPr>
              <w:t>shixin.court.gov.cn</w:t>
            </w:r>
            <w:r>
              <w:rPr>
                <w:rFonts w:hint="eastAsia" w:ascii="Times New Roman" w:eastAsia="宋体"/>
                <w:color w:val="auto"/>
                <w:sz w:val="28"/>
              </w:rPr>
              <w:t>）关于相关竞租人主体信用的查询结果，内容包括但不限于竞租人及其法定代表人无不良信用的信用信息，网页截图须显示竞租人及其法定代表人名称以及查询结果。（查询时间为本项目挂牌公告期内即可）</w:t>
            </w:r>
          </w:p>
          <w:p>
            <w:pPr>
              <w:spacing w:line="440" w:lineRule="exact"/>
              <w:ind w:firstLine="560"/>
              <w:jc w:val="left"/>
              <w:rPr>
                <w:rFonts w:ascii="Times New Roman" w:hAnsi="Times New Roman" w:eastAsia="宋体"/>
                <w:color w:val="auto"/>
                <w:sz w:val="28"/>
              </w:rPr>
            </w:pPr>
            <w:r>
              <w:rPr>
                <w:rFonts w:hint="eastAsia" w:ascii="Times New Roman" w:eastAsia="宋体"/>
                <w:color w:val="auto"/>
                <w:sz w:val="28"/>
                <w:lang w:val="en-US" w:eastAsia="zh-CN"/>
              </w:rPr>
              <w:t>8</w:t>
            </w:r>
            <w:r>
              <w:rPr>
                <w:rFonts w:hint="eastAsia" w:ascii="Times New Roman" w:eastAsia="宋体"/>
                <w:color w:val="auto"/>
                <w:sz w:val="28"/>
              </w:rPr>
              <w:t>、第三方信用查询软件“企查查”（</w:t>
            </w:r>
            <w:r>
              <w:rPr>
                <w:rFonts w:ascii="Times New Roman" w:eastAsia="宋体"/>
                <w:color w:val="auto"/>
                <w:sz w:val="28"/>
              </w:rPr>
              <w:t>www.qichacha.com</w:t>
            </w:r>
            <w:r>
              <w:rPr>
                <w:rFonts w:hint="eastAsia" w:ascii="Times New Roman" w:eastAsia="宋体"/>
                <w:color w:val="auto"/>
                <w:sz w:val="28"/>
              </w:rPr>
              <w:t>）关于相关竞租人主体信用的查询结果</w:t>
            </w:r>
            <w:r>
              <w:rPr>
                <w:rFonts w:hint="eastAsia" w:ascii="Times New Roman" w:hAnsi="Times New Roman" w:eastAsia="宋体"/>
                <w:color w:val="auto"/>
                <w:sz w:val="28"/>
              </w:rPr>
              <w:t>。</w:t>
            </w:r>
          </w:p>
          <w:p>
            <w:pPr>
              <w:spacing w:line="440" w:lineRule="exact"/>
              <w:ind w:firstLine="560"/>
              <w:jc w:val="left"/>
              <w:rPr>
                <w:rFonts w:ascii="Times New Roman" w:eastAsia="宋体"/>
                <w:color w:val="auto"/>
                <w:sz w:val="28"/>
              </w:rPr>
            </w:pPr>
            <w:r>
              <w:rPr>
                <w:rFonts w:hint="eastAsia" w:ascii="Times New Roman" w:eastAsia="宋体"/>
                <w:color w:val="auto"/>
                <w:sz w:val="28"/>
                <w:lang w:val="en-US" w:eastAsia="zh-CN"/>
              </w:rPr>
              <w:t>9</w:t>
            </w:r>
            <w:r>
              <w:rPr>
                <w:rFonts w:hint="eastAsia" w:ascii="Times New Roman" w:eastAsia="宋体"/>
                <w:color w:val="auto"/>
                <w:sz w:val="28"/>
              </w:rPr>
              <w:t>、竞租人</w:t>
            </w:r>
            <w:r>
              <w:rPr>
                <w:rFonts w:hint="eastAsia" w:ascii="Times New Roman" w:eastAsia="宋体"/>
                <w:color w:val="auto"/>
                <w:sz w:val="28"/>
                <w:lang w:val="en-US" w:eastAsia="zh-CN"/>
              </w:rPr>
              <w:t>为满足“</w:t>
            </w:r>
            <w:r>
              <w:rPr>
                <w:rFonts w:hint="eastAsia" w:ascii="Times New Roman" w:hAnsi="Times New Roman" w:eastAsia="宋体"/>
                <w:b/>
                <w:color w:val="auto"/>
                <w:sz w:val="28"/>
              </w:rPr>
              <w:t>竞租人应具备的基本条件</w:t>
            </w:r>
            <w:r>
              <w:rPr>
                <w:rFonts w:hint="eastAsia" w:ascii="Times New Roman" w:hAnsi="Times New Roman" w:eastAsia="宋体"/>
                <w:b/>
                <w:color w:val="auto"/>
                <w:sz w:val="28"/>
                <w:lang w:val="en-US" w:eastAsia="zh-CN"/>
              </w:rPr>
              <w:t>”第3.2条款的，</w:t>
            </w:r>
            <w:r>
              <w:rPr>
                <w:rFonts w:hint="eastAsia" w:ascii="Times New Roman" w:eastAsia="宋体"/>
                <w:color w:val="auto"/>
                <w:sz w:val="28"/>
              </w:rPr>
              <w:t>应提供合作公司的战略合作框架协议原件并有核实电话和二维码。</w:t>
            </w:r>
          </w:p>
          <w:p>
            <w:pPr>
              <w:spacing w:line="440" w:lineRule="exact"/>
              <w:ind w:firstLine="560"/>
              <w:jc w:val="left"/>
            </w:pPr>
            <w:r>
              <w:rPr>
                <w:rFonts w:hint="eastAsia" w:ascii="Times New Roman" w:eastAsia="宋体"/>
                <w:color w:val="auto"/>
                <w:sz w:val="28"/>
                <w:lang w:val="en-US" w:eastAsia="zh-CN"/>
              </w:rPr>
              <w:t>10</w:t>
            </w:r>
            <w:r>
              <w:rPr>
                <w:rFonts w:hint="eastAsia" w:ascii="Times New Roman" w:eastAsia="宋体"/>
                <w:color w:val="auto"/>
                <w:sz w:val="28"/>
              </w:rPr>
              <w:t>、竞租人</w:t>
            </w:r>
            <w:r>
              <w:rPr>
                <w:rFonts w:hint="eastAsia" w:ascii="Times New Roman" w:eastAsia="宋体"/>
                <w:color w:val="auto"/>
                <w:sz w:val="28"/>
                <w:lang w:val="en-US" w:eastAsia="zh-CN"/>
              </w:rPr>
              <w:t>和</w:t>
            </w:r>
            <w:r>
              <w:rPr>
                <w:rFonts w:hint="eastAsia" w:ascii="Times New Roman" w:eastAsia="宋体"/>
                <w:color w:val="auto"/>
                <w:sz w:val="28"/>
              </w:rPr>
              <w:t>战略合作公司的简介及</w:t>
            </w:r>
            <w:r>
              <w:rPr>
                <w:rFonts w:hint="eastAsia" w:ascii="Times New Roman" w:eastAsia="宋体"/>
                <w:color w:val="auto"/>
                <w:sz w:val="28"/>
                <w:lang w:val="en-US" w:eastAsia="zh-CN"/>
              </w:rPr>
              <w:t>其</w:t>
            </w:r>
            <w:r>
              <w:rPr>
                <w:rFonts w:hint="eastAsia" w:ascii="Times New Roman" w:eastAsia="宋体"/>
                <w:color w:val="auto"/>
                <w:sz w:val="28"/>
              </w:rPr>
              <w:t>在财富世界官网（</w:t>
            </w:r>
            <w:r>
              <w:rPr>
                <w:rFonts w:ascii="Times New Roman" w:eastAsia="宋体"/>
                <w:color w:val="auto"/>
                <w:sz w:val="28"/>
              </w:rPr>
              <w:t>www.fortunechina.com</w:t>
            </w:r>
            <w:r>
              <w:rPr>
                <w:rFonts w:hint="eastAsia" w:ascii="Times New Roman" w:eastAsia="宋体"/>
                <w:color w:val="auto"/>
                <w:sz w:val="28"/>
              </w:rPr>
              <w:t>）</w:t>
            </w:r>
            <w:r>
              <w:rPr>
                <w:rFonts w:ascii="Times New Roman" w:eastAsia="宋体"/>
                <w:color w:val="auto"/>
                <w:sz w:val="28"/>
              </w:rPr>
              <w:t>2017</w:t>
            </w:r>
            <w:r>
              <w:rPr>
                <w:rFonts w:hint="eastAsia" w:ascii="Times New Roman" w:eastAsia="宋体"/>
                <w:color w:val="auto"/>
                <w:sz w:val="28"/>
              </w:rPr>
              <w:t>年度财富世界</w:t>
            </w:r>
            <w:r>
              <w:rPr>
                <w:rFonts w:ascii="Times New Roman" w:eastAsia="宋体"/>
                <w:color w:val="auto"/>
                <w:sz w:val="28"/>
              </w:rPr>
              <w:t>500</w:t>
            </w:r>
            <w:r>
              <w:rPr>
                <w:rFonts w:hint="eastAsia" w:ascii="Times New Roman" w:eastAsia="宋体"/>
                <w:color w:val="auto"/>
                <w:sz w:val="28"/>
              </w:rPr>
              <w:t>强所处排名</w:t>
            </w:r>
            <w:r>
              <w:rPr>
                <w:rFonts w:hint="eastAsia" w:ascii="Times New Roman" w:eastAsia="宋体"/>
                <w:color w:val="auto"/>
                <w:sz w:val="28"/>
                <w:lang w:val="en-US" w:eastAsia="zh-CN"/>
              </w:rPr>
              <w:t>证明材料</w:t>
            </w:r>
            <w:r>
              <w:rPr>
                <w:rFonts w:hint="eastAsia" w:ascii="Times New Roman" w:eastAsia="宋体"/>
                <w:color w:val="auto"/>
                <w:sz w:val="28"/>
              </w:rPr>
              <w:t>。</w:t>
            </w:r>
          </w:p>
          <w:p>
            <w:pPr>
              <w:spacing w:line="440" w:lineRule="exact"/>
              <w:ind w:firstLine="560"/>
              <w:jc w:val="left"/>
              <w:rPr>
                <w:rFonts w:hint="eastAsia" w:ascii="Times New Roman" w:hAnsi="Times New Roman" w:eastAsia="宋体"/>
                <w:color w:val="auto"/>
                <w:sz w:val="28"/>
                <w:lang w:val="en-US" w:eastAsia="zh-CN"/>
              </w:rPr>
            </w:pPr>
            <w:r>
              <w:rPr>
                <w:rFonts w:ascii="Times New Roman" w:eastAsia="宋体"/>
                <w:color w:val="auto"/>
                <w:sz w:val="28"/>
              </w:rPr>
              <w:t>1</w:t>
            </w:r>
            <w:r>
              <w:rPr>
                <w:rFonts w:hint="eastAsia" w:ascii="Times New Roman" w:eastAsia="宋体"/>
                <w:color w:val="auto"/>
                <w:sz w:val="28"/>
                <w:lang w:val="en-US" w:eastAsia="zh-CN"/>
              </w:rPr>
              <w:t>1</w:t>
            </w:r>
            <w:r>
              <w:rPr>
                <w:rFonts w:hint="eastAsia" w:ascii="Times New Roman" w:eastAsia="宋体"/>
                <w:color w:val="auto"/>
                <w:sz w:val="28"/>
              </w:rPr>
              <w:t>、竞租人</w:t>
            </w:r>
            <w:r>
              <w:rPr>
                <w:rFonts w:hint="eastAsia" w:ascii="Times New Roman" w:eastAsia="宋体"/>
                <w:color w:val="auto"/>
                <w:sz w:val="28"/>
                <w:lang w:val="en-US" w:eastAsia="zh-CN"/>
              </w:rPr>
              <w:t>所使用的</w:t>
            </w:r>
            <w:r>
              <w:rPr>
                <w:rFonts w:ascii="Times New Roman" w:eastAsia="宋体"/>
                <w:color w:val="auto"/>
                <w:sz w:val="28"/>
              </w:rPr>
              <w:t>500</w:t>
            </w:r>
            <w:r>
              <w:rPr>
                <w:rFonts w:hint="eastAsia" w:ascii="Times New Roman" w:eastAsia="宋体"/>
                <w:color w:val="auto"/>
                <w:sz w:val="28"/>
              </w:rPr>
              <w:t>强</w:t>
            </w:r>
            <w:r>
              <w:rPr>
                <w:rFonts w:hint="eastAsia" w:ascii="Times New Roman" w:eastAsia="宋体"/>
                <w:color w:val="auto"/>
                <w:sz w:val="28"/>
                <w:lang w:val="en-US" w:eastAsia="zh-CN"/>
              </w:rPr>
              <w:t>公司</w:t>
            </w:r>
            <w:r>
              <w:rPr>
                <w:rFonts w:hint="eastAsia" w:ascii="Times New Roman" w:hAnsi="Times New Roman" w:eastAsia="宋体"/>
                <w:color w:val="auto"/>
                <w:sz w:val="28"/>
                <w:lang w:val="en-US" w:eastAsia="zh-CN"/>
              </w:rPr>
              <w:t>经验</w:t>
            </w:r>
            <w:r>
              <w:rPr>
                <w:rFonts w:hint="eastAsia" w:ascii="Times New Roman" w:eastAsia="宋体"/>
                <w:color w:val="auto"/>
                <w:sz w:val="28"/>
                <w:lang w:val="en-US" w:eastAsia="zh-CN"/>
              </w:rPr>
              <w:t>证明材料，包括但不限于：a、所</w:t>
            </w:r>
            <w:r>
              <w:rPr>
                <w:rFonts w:hint="eastAsia" w:ascii="Times New Roman" w:eastAsia="宋体"/>
                <w:color w:val="auto"/>
                <w:sz w:val="28"/>
              </w:rPr>
              <w:t>运营</w:t>
            </w:r>
            <w:r>
              <w:rPr>
                <w:rFonts w:hint="eastAsia" w:ascii="Times New Roman" w:eastAsia="宋体"/>
                <w:color w:val="auto"/>
                <w:sz w:val="28"/>
                <w:lang w:val="en-US" w:eastAsia="zh-CN"/>
              </w:rPr>
              <w:t>的</w:t>
            </w:r>
            <w:r>
              <w:rPr>
                <w:rFonts w:ascii="Times New Roman" w:eastAsia="宋体"/>
                <w:color w:val="auto"/>
                <w:sz w:val="28"/>
              </w:rPr>
              <w:t>80</w:t>
            </w:r>
            <w:r>
              <w:rPr>
                <w:rFonts w:hint="eastAsia" w:ascii="Times New Roman" w:eastAsia="宋体"/>
                <w:color w:val="auto"/>
                <w:sz w:val="28"/>
              </w:rPr>
              <w:t>家以上酒店</w:t>
            </w:r>
            <w:r>
              <w:rPr>
                <w:rFonts w:hint="eastAsia" w:ascii="Times New Roman" w:eastAsia="宋体"/>
                <w:color w:val="auto"/>
                <w:sz w:val="28"/>
                <w:lang w:val="en-US" w:eastAsia="zh-CN"/>
              </w:rPr>
              <w:t>的名单；b、</w:t>
            </w:r>
            <w:r>
              <w:rPr>
                <w:rFonts w:hint="eastAsia" w:ascii="Times New Roman" w:eastAsia="宋体"/>
                <w:color w:val="auto"/>
                <w:sz w:val="28"/>
              </w:rPr>
              <w:t>在广西区运营有共计</w:t>
            </w:r>
            <w:r>
              <w:rPr>
                <w:rFonts w:ascii="Times New Roman" w:eastAsia="宋体"/>
                <w:color w:val="auto"/>
                <w:sz w:val="28"/>
              </w:rPr>
              <w:t>90</w:t>
            </w:r>
            <w:r>
              <w:rPr>
                <w:rFonts w:hint="eastAsia" w:ascii="Times New Roman" w:eastAsia="宋体"/>
                <w:color w:val="auto"/>
                <w:sz w:val="28"/>
              </w:rPr>
              <w:t>万平方米以上购物中心的商业</w:t>
            </w:r>
            <w:r>
              <w:rPr>
                <w:rFonts w:hint="eastAsia" w:ascii="Times New Roman" w:eastAsia="宋体"/>
                <w:color w:val="auto"/>
                <w:sz w:val="28"/>
                <w:lang w:val="en-US" w:eastAsia="zh-CN"/>
              </w:rPr>
              <w:t>合同；c、</w:t>
            </w:r>
            <w:r>
              <w:rPr>
                <w:rFonts w:hint="eastAsia" w:ascii="Times New Roman" w:eastAsia="宋体"/>
                <w:color w:val="auto"/>
                <w:sz w:val="28"/>
              </w:rPr>
              <w:t>在超过</w:t>
            </w:r>
            <w:r>
              <w:rPr>
                <w:rFonts w:ascii="Times New Roman" w:eastAsia="宋体"/>
                <w:color w:val="auto"/>
                <w:sz w:val="28"/>
              </w:rPr>
              <w:t>3</w:t>
            </w:r>
            <w:r>
              <w:rPr>
                <w:rFonts w:hint="eastAsia" w:ascii="Times New Roman" w:eastAsia="宋体"/>
                <w:color w:val="auto"/>
                <w:sz w:val="28"/>
              </w:rPr>
              <w:t>个国家开设并运营有酒店或商业项目</w:t>
            </w:r>
            <w:r>
              <w:rPr>
                <w:rFonts w:hint="eastAsia" w:ascii="Times New Roman" w:eastAsia="宋体"/>
                <w:color w:val="auto"/>
                <w:sz w:val="28"/>
                <w:lang w:val="en-US" w:eastAsia="zh-CN"/>
              </w:rPr>
              <w:t>的证明材料；d、</w:t>
            </w:r>
            <w:r>
              <w:rPr>
                <w:rFonts w:ascii="Times New Roman" w:hAnsi="Times New Roman" w:eastAsia="宋体"/>
                <w:color w:val="auto"/>
                <w:sz w:val="28"/>
              </w:rPr>
              <w:t>3</w:t>
            </w:r>
            <w:r>
              <w:rPr>
                <w:rFonts w:hint="eastAsia" w:ascii="Times New Roman" w:hAnsi="Times New Roman" w:eastAsia="宋体"/>
                <w:color w:val="auto"/>
                <w:sz w:val="28"/>
              </w:rPr>
              <w:t>个以上</w:t>
            </w:r>
            <w:r>
              <w:rPr>
                <w:rFonts w:hint="eastAsia" w:ascii="Times New Roman" w:eastAsia="宋体"/>
                <w:color w:val="auto"/>
                <w:sz w:val="28"/>
                <w:lang w:val="en-US" w:eastAsia="zh-CN"/>
              </w:rPr>
              <w:t>所</w:t>
            </w:r>
            <w:r>
              <w:rPr>
                <w:rFonts w:hint="eastAsia" w:ascii="Times New Roman" w:hAnsi="Times New Roman" w:eastAsia="宋体"/>
                <w:color w:val="auto"/>
                <w:sz w:val="28"/>
              </w:rPr>
              <w:t>获得</w:t>
            </w:r>
            <w:r>
              <w:rPr>
                <w:rFonts w:hint="eastAsia" w:ascii="Times New Roman" w:hAnsi="Times New Roman" w:eastAsia="宋体"/>
                <w:color w:val="auto"/>
                <w:sz w:val="28"/>
                <w:lang w:val="en-US" w:eastAsia="zh-CN"/>
              </w:rPr>
              <w:t>过的</w:t>
            </w:r>
            <w:r>
              <w:rPr>
                <w:rFonts w:hint="eastAsia" w:ascii="Times New Roman" w:hAnsi="Times New Roman" w:eastAsia="宋体"/>
                <w:color w:val="auto"/>
                <w:sz w:val="28"/>
              </w:rPr>
              <w:t>国际奖项</w:t>
            </w:r>
            <w:r>
              <w:rPr>
                <w:rFonts w:hint="eastAsia" w:ascii="Times New Roman" w:hAnsi="Times New Roman" w:eastAsia="宋体"/>
                <w:color w:val="auto"/>
                <w:sz w:val="28"/>
                <w:lang w:val="en-US" w:eastAsia="zh-CN"/>
              </w:rPr>
              <w:t>证明。</w:t>
            </w:r>
          </w:p>
          <w:p>
            <w:pPr>
              <w:spacing w:line="440" w:lineRule="exact"/>
              <w:ind w:firstLine="560"/>
              <w:jc w:val="left"/>
              <w:rPr>
                <w:rFonts w:ascii="Times New Roman" w:eastAsia="宋体"/>
                <w:color w:val="auto"/>
                <w:sz w:val="28"/>
              </w:rPr>
            </w:pPr>
            <w:r>
              <w:rPr>
                <w:rFonts w:ascii="Times New Roman" w:eastAsia="宋体"/>
                <w:color w:val="auto"/>
                <w:sz w:val="28"/>
              </w:rPr>
              <w:t>1</w:t>
            </w:r>
            <w:r>
              <w:rPr>
                <w:rFonts w:hint="eastAsia" w:ascii="Times New Roman" w:eastAsia="宋体"/>
                <w:color w:val="auto"/>
                <w:sz w:val="28"/>
                <w:lang w:val="en-US" w:eastAsia="zh-CN"/>
              </w:rPr>
              <w:t>2</w:t>
            </w:r>
            <w:r>
              <w:rPr>
                <w:rFonts w:hint="eastAsia" w:ascii="Times New Roman" w:eastAsia="宋体"/>
                <w:color w:val="auto"/>
                <w:sz w:val="28"/>
              </w:rPr>
              <w:t>、授权委托书及委托代理人身份证。</w:t>
            </w:r>
          </w:p>
          <w:p>
            <w:pPr>
              <w:spacing w:line="440" w:lineRule="exact"/>
              <w:ind w:firstLine="560"/>
              <w:jc w:val="left"/>
              <w:rPr>
                <w:rFonts w:ascii="Times New Roman" w:eastAsia="宋体"/>
                <w:color w:val="auto"/>
                <w:sz w:val="28"/>
              </w:rPr>
            </w:pPr>
            <w:r>
              <w:rPr>
                <w:rFonts w:ascii="Times New Roman" w:eastAsia="宋体"/>
                <w:color w:val="auto"/>
                <w:sz w:val="28"/>
              </w:rPr>
              <w:t>1</w:t>
            </w:r>
            <w:r>
              <w:rPr>
                <w:rFonts w:hint="eastAsia" w:ascii="Times New Roman" w:eastAsia="宋体"/>
                <w:color w:val="auto"/>
                <w:sz w:val="28"/>
                <w:lang w:val="en-US" w:eastAsia="zh-CN"/>
              </w:rPr>
              <w:t>3</w:t>
            </w:r>
            <w:r>
              <w:rPr>
                <w:rFonts w:hint="eastAsia" w:ascii="Times New Roman" w:eastAsia="宋体"/>
                <w:color w:val="auto"/>
                <w:sz w:val="28"/>
              </w:rPr>
              <w:t>、挂牌公告中要求的其它相关材料。</w:t>
            </w:r>
          </w:p>
          <w:p>
            <w:pPr>
              <w:spacing w:line="440" w:lineRule="exact"/>
              <w:jc w:val="left"/>
              <w:rPr>
                <w:rFonts w:ascii="Times New Roman" w:hAnsi="Times New Roman" w:eastAsia="宋体"/>
                <w:color w:val="auto"/>
                <w:sz w:val="28"/>
              </w:rPr>
            </w:pPr>
            <w:r>
              <w:rPr>
                <w:rFonts w:ascii="Times New Roman" w:eastAsia="宋体"/>
                <w:color w:val="auto"/>
                <w:sz w:val="28"/>
              </w:rPr>
              <w:t xml:space="preserve">    </w:t>
            </w:r>
            <w:r>
              <w:rPr>
                <w:rFonts w:hint="eastAsia" w:ascii="Times New Roman" w:eastAsia="宋体"/>
                <w:color w:val="auto"/>
                <w:sz w:val="28"/>
              </w:rPr>
              <w:t>注：除《竞租申请与承诺书》和授权委托书提交原件外，其他材料提交加盖公章的复印件。</w:t>
            </w:r>
          </w:p>
        </w:tc>
      </w:tr>
    </w:tbl>
    <w:p>
      <w:pPr>
        <w:spacing w:line="440" w:lineRule="exact"/>
        <w:ind w:firstLine="560"/>
        <w:rPr>
          <w:rFonts w:ascii="Times New Roman" w:hAnsi="Times New Roman" w:eastAsia="宋体"/>
          <w:color w:val="auto"/>
          <w:sz w:val="28"/>
        </w:rPr>
      </w:pPr>
    </w:p>
    <w:p>
      <w:pPr>
        <w:pStyle w:val="2"/>
        <w:rPr>
          <w:rFonts w:ascii="Times New Roman" w:hAnsi="Times New Roman" w:eastAsia="宋体"/>
          <w:color w:val="auto"/>
          <w:sz w:val="28"/>
        </w:rPr>
      </w:pPr>
    </w:p>
    <w:p>
      <w:pPr>
        <w:rPr>
          <w:rFonts w:ascii="Times New Roman" w:hAnsi="Times New Roman" w:eastAsia="宋体"/>
          <w:color w:val="auto"/>
          <w:sz w:val="28"/>
        </w:rPr>
      </w:pPr>
    </w:p>
    <w:p>
      <w:pPr>
        <w:rPr>
          <w:rFonts w:ascii="Times New Roman" w:hAnsi="Times New Roman" w:eastAsia="宋体"/>
          <w:color w:val="auto"/>
          <w:sz w:val="28"/>
        </w:rPr>
      </w:pPr>
    </w:p>
    <w:p>
      <w:pPr>
        <w:pStyle w:val="2"/>
      </w:pPr>
    </w:p>
    <w:tbl>
      <w:tblPr>
        <w:tblStyle w:val="4"/>
        <w:tblW w:w="10420" w:type="dxa"/>
        <w:tblInd w:w="0" w:type="dxa"/>
        <w:tblLayout w:type="fixed"/>
        <w:tblCellMar>
          <w:top w:w="0" w:type="dxa"/>
          <w:left w:w="0" w:type="dxa"/>
          <w:bottom w:w="0" w:type="dxa"/>
          <w:right w:w="0" w:type="dxa"/>
        </w:tblCellMar>
      </w:tblPr>
      <w:tblGrid>
        <w:gridCol w:w="2461"/>
        <w:gridCol w:w="1680"/>
        <w:gridCol w:w="6279"/>
      </w:tblGrid>
      <w:tr>
        <w:tblPrEx>
          <w:tblLayout w:type="fixed"/>
          <w:tblCellMar>
            <w:top w:w="0" w:type="dxa"/>
            <w:left w:w="0" w:type="dxa"/>
            <w:bottom w:w="0" w:type="dxa"/>
            <w:right w:w="0" w:type="dxa"/>
          </w:tblCellMar>
        </w:tblPrEx>
        <w:trPr>
          <w:trHeight w:val="146" w:hRule="atLeast"/>
        </w:trPr>
        <w:tc>
          <w:tcPr>
            <w:tcW w:w="246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b/>
                <w:color w:val="auto"/>
                <w:sz w:val="28"/>
              </w:rPr>
              <w:t>竞租保证金处置方式</w:t>
            </w:r>
          </w:p>
          <w:p>
            <w:pPr>
              <w:spacing w:line="440" w:lineRule="exact"/>
              <w:jc w:val="center"/>
              <w:rPr>
                <w:color w:val="auto"/>
              </w:rPr>
            </w:pPr>
          </w:p>
        </w:tc>
        <w:tc>
          <w:tcPr>
            <w:tcW w:w="168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left"/>
              <w:rPr>
                <w:rFonts w:ascii="Times New Roman" w:hAnsi="Times New Roman" w:eastAsia="宋体"/>
                <w:color w:val="auto"/>
                <w:sz w:val="28"/>
              </w:rPr>
            </w:pPr>
          </w:p>
          <w:p>
            <w:pPr>
              <w:spacing w:line="440" w:lineRule="exact"/>
              <w:jc w:val="left"/>
              <w:rPr>
                <w:rFonts w:ascii="Times New Roman" w:hAnsi="Times New Roman" w:eastAsia="宋体"/>
                <w:color w:val="auto"/>
                <w:sz w:val="28"/>
              </w:rPr>
            </w:pPr>
            <w:r>
              <w:rPr>
                <w:rFonts w:hint="eastAsia" w:ascii="Times New Roman" w:eastAsia="宋体"/>
                <w:color w:val="auto"/>
                <w:sz w:val="28"/>
              </w:rPr>
              <w:t>交纳账户</w:t>
            </w:r>
          </w:p>
        </w:tc>
        <w:tc>
          <w:tcPr>
            <w:tcW w:w="6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left"/>
              <w:rPr>
                <w:rFonts w:ascii="Times New Roman" w:hAnsi="Times New Roman" w:eastAsia="宋体"/>
                <w:color w:val="auto"/>
                <w:sz w:val="28"/>
              </w:rPr>
            </w:pPr>
            <w:r>
              <w:rPr>
                <w:rFonts w:hint="eastAsia" w:ascii="Times New Roman" w:eastAsia="宋体"/>
                <w:b/>
                <w:color w:val="auto"/>
                <w:sz w:val="28"/>
              </w:rPr>
              <w:t>单位名称：广西联合产权交易所有限责任公司</w:t>
            </w:r>
          </w:p>
        </w:tc>
      </w:tr>
      <w:tr>
        <w:tblPrEx>
          <w:tblLayout w:type="fixed"/>
          <w:tblCellMar>
            <w:top w:w="0" w:type="dxa"/>
            <w:left w:w="0" w:type="dxa"/>
            <w:bottom w:w="0" w:type="dxa"/>
            <w:right w:w="0" w:type="dxa"/>
          </w:tblCellMar>
        </w:tblPrEx>
        <w:trPr>
          <w:trHeight w:val="136" w:hRule="atLeast"/>
        </w:trPr>
        <w:tc>
          <w:tcPr>
            <w:tcW w:w="24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olor w:val="auto"/>
                <w:sz w:val="28"/>
              </w:rPr>
            </w:pPr>
          </w:p>
        </w:tc>
        <w:tc>
          <w:tcPr>
            <w:tcW w:w="6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left"/>
              <w:rPr>
                <w:rFonts w:ascii="Times New Roman" w:hAnsi="Times New Roman" w:eastAsia="宋体"/>
                <w:color w:val="auto"/>
                <w:sz w:val="28"/>
              </w:rPr>
            </w:pPr>
            <w:r>
              <w:rPr>
                <w:rFonts w:hint="eastAsia" w:ascii="Times New Roman" w:eastAsia="宋体"/>
                <w:b/>
                <w:color w:val="auto"/>
                <w:sz w:val="28"/>
              </w:rPr>
              <w:t>账</w:t>
            </w:r>
            <w:r>
              <w:rPr>
                <w:rFonts w:ascii="Times New Roman" w:hAnsi="Times New Roman" w:eastAsia="宋体"/>
                <w:b/>
                <w:color w:val="auto"/>
                <w:sz w:val="28"/>
              </w:rPr>
              <w:t xml:space="preserve">    </w:t>
            </w:r>
            <w:r>
              <w:rPr>
                <w:rFonts w:hint="eastAsia" w:ascii="Times New Roman" w:eastAsia="宋体"/>
                <w:b/>
                <w:color w:val="auto"/>
                <w:sz w:val="28"/>
              </w:rPr>
              <w:t>号：</w:t>
            </w:r>
            <w:r>
              <w:rPr>
                <w:rFonts w:ascii="Times New Roman" w:hAnsi="Times New Roman" w:eastAsia="宋体"/>
                <w:b/>
                <w:color w:val="auto"/>
                <w:sz w:val="28"/>
              </w:rPr>
              <w:t>8000 9800 3755 668</w:t>
            </w:r>
          </w:p>
        </w:tc>
      </w:tr>
      <w:tr>
        <w:tblPrEx>
          <w:tblLayout w:type="fixed"/>
          <w:tblCellMar>
            <w:top w:w="0" w:type="dxa"/>
            <w:left w:w="0" w:type="dxa"/>
            <w:bottom w:w="0" w:type="dxa"/>
            <w:right w:w="0" w:type="dxa"/>
          </w:tblCellMar>
        </w:tblPrEx>
        <w:trPr>
          <w:trHeight w:val="136" w:hRule="atLeast"/>
        </w:trPr>
        <w:tc>
          <w:tcPr>
            <w:tcW w:w="24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olor w:val="auto"/>
                <w:sz w:val="28"/>
              </w:rPr>
            </w:pPr>
          </w:p>
        </w:tc>
        <w:tc>
          <w:tcPr>
            <w:tcW w:w="6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left"/>
              <w:rPr>
                <w:rFonts w:ascii="Times New Roman" w:hAnsi="Times New Roman" w:eastAsia="宋体"/>
                <w:color w:val="auto"/>
                <w:sz w:val="28"/>
              </w:rPr>
            </w:pPr>
            <w:r>
              <w:rPr>
                <w:rFonts w:hint="eastAsia" w:ascii="Times New Roman" w:eastAsia="宋体"/>
                <w:b/>
                <w:color w:val="auto"/>
                <w:sz w:val="28"/>
              </w:rPr>
              <w:t>开户银行：广西北部湾银行南宁市南湖支行</w:t>
            </w:r>
          </w:p>
        </w:tc>
      </w:tr>
      <w:tr>
        <w:tblPrEx>
          <w:tblLayout w:type="fixed"/>
          <w:tblCellMar>
            <w:top w:w="0" w:type="dxa"/>
            <w:left w:w="0" w:type="dxa"/>
            <w:bottom w:w="0" w:type="dxa"/>
            <w:right w:w="0" w:type="dxa"/>
          </w:tblCellMar>
        </w:tblPrEx>
        <w:trPr>
          <w:trHeight w:val="3940" w:hRule="atLeast"/>
        </w:trPr>
        <w:tc>
          <w:tcPr>
            <w:tcW w:w="24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auto"/>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left"/>
              <w:rPr>
                <w:rFonts w:ascii="Times New Roman" w:hAnsi="Times New Roman" w:eastAsia="宋体"/>
                <w:color w:val="auto"/>
                <w:sz w:val="28"/>
              </w:rPr>
            </w:pPr>
            <w:r>
              <w:rPr>
                <w:rFonts w:hint="eastAsia" w:ascii="Times New Roman" w:eastAsia="宋体"/>
                <w:color w:val="auto"/>
                <w:sz w:val="28"/>
              </w:rPr>
              <w:t>交纳时间及其他约定</w:t>
            </w:r>
          </w:p>
        </w:tc>
        <w:tc>
          <w:tcPr>
            <w:tcW w:w="6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jc w:val="left"/>
              <w:rPr>
                <w:rFonts w:ascii="Times New Roman" w:eastAsia="宋体"/>
                <w:color w:val="auto"/>
                <w:sz w:val="28"/>
              </w:rPr>
            </w:pPr>
            <w:r>
              <w:rPr>
                <w:rFonts w:ascii="Times New Roman" w:eastAsia="宋体"/>
                <w:color w:val="auto"/>
                <w:sz w:val="28"/>
              </w:rPr>
              <w:t>1</w:t>
            </w:r>
            <w:r>
              <w:rPr>
                <w:rFonts w:hint="eastAsia" w:ascii="Times New Roman" w:eastAsia="宋体"/>
                <w:color w:val="auto"/>
                <w:sz w:val="28"/>
              </w:rPr>
              <w:t>、符合要求的竞租人应在挂牌公告规定的时间内，向交易所足额交纳竞租保证金（交款用途上须注明：“</w:t>
            </w:r>
            <w:r>
              <w:rPr>
                <w:rFonts w:ascii="Times New Roman" w:eastAsia="宋体"/>
                <w:color w:val="auto"/>
                <w:sz w:val="28"/>
              </w:rPr>
              <w:t>GXCQJY1</w:t>
            </w:r>
            <w:r>
              <w:rPr>
                <w:rFonts w:hint="eastAsia" w:ascii="Times New Roman" w:eastAsia="宋体"/>
                <w:color w:val="auto"/>
                <w:sz w:val="28"/>
                <w:lang w:val="en-US" w:eastAsia="zh-CN"/>
              </w:rPr>
              <w:t>9-30</w:t>
            </w:r>
            <w:r>
              <w:rPr>
                <w:rFonts w:hint="eastAsia" w:ascii="Times New Roman" w:eastAsia="宋体"/>
                <w:color w:val="auto"/>
                <w:sz w:val="28"/>
              </w:rPr>
              <w:t>项目保证金”）。</w:t>
            </w:r>
          </w:p>
          <w:p>
            <w:pPr>
              <w:spacing w:line="440" w:lineRule="exact"/>
              <w:ind w:firstLine="560"/>
              <w:jc w:val="left"/>
              <w:rPr>
                <w:rFonts w:ascii="Times New Roman" w:eastAsia="宋体"/>
                <w:color w:val="auto"/>
                <w:sz w:val="28"/>
              </w:rPr>
            </w:pPr>
            <w:r>
              <w:rPr>
                <w:rFonts w:ascii="Times New Roman" w:eastAsia="宋体"/>
                <w:color w:val="auto"/>
                <w:sz w:val="28"/>
              </w:rPr>
              <w:t>2</w:t>
            </w:r>
            <w:r>
              <w:rPr>
                <w:rFonts w:hint="eastAsia" w:ascii="Times New Roman" w:eastAsia="宋体"/>
                <w:color w:val="auto"/>
                <w:sz w:val="28"/>
              </w:rPr>
              <w:t>、未成交的竞租人的竞租保证金由交易所在交易结束后</w:t>
            </w:r>
            <w:r>
              <w:rPr>
                <w:rFonts w:ascii="Times New Roman" w:eastAsia="宋体"/>
                <w:color w:val="auto"/>
                <w:sz w:val="28"/>
              </w:rPr>
              <w:t>5</w:t>
            </w:r>
            <w:r>
              <w:rPr>
                <w:rFonts w:hint="eastAsia" w:ascii="Times New Roman" w:eastAsia="宋体"/>
                <w:color w:val="auto"/>
                <w:sz w:val="28"/>
              </w:rPr>
              <w:t>个工作日内原额原路予以退回（不计利息）。</w:t>
            </w:r>
          </w:p>
          <w:p>
            <w:pPr>
              <w:spacing w:line="440" w:lineRule="exact"/>
              <w:ind w:firstLine="560"/>
              <w:jc w:val="left"/>
              <w:rPr>
                <w:rFonts w:ascii="Times New Roman" w:hAnsi="Times New Roman" w:eastAsia="宋体"/>
                <w:color w:val="auto"/>
                <w:sz w:val="28"/>
              </w:rPr>
            </w:pPr>
            <w:r>
              <w:rPr>
                <w:rFonts w:ascii="Times New Roman" w:eastAsia="宋体"/>
                <w:color w:val="auto"/>
                <w:sz w:val="28"/>
              </w:rPr>
              <w:t>3</w:t>
            </w:r>
            <w:r>
              <w:rPr>
                <w:rFonts w:hint="eastAsia" w:ascii="Times New Roman" w:eastAsia="宋体"/>
                <w:color w:val="auto"/>
                <w:sz w:val="28"/>
              </w:rPr>
              <w:t>、承租方拒绝签署《成交通知》、《成交确认书》、《租赁合同》、以及其他相关文件的，将被列入交易所和出租方的黑名单，且竞租保证金不予退回，由交易所优先扣除产权交易服务费后，余额作为违约金支付给出租方。</w:t>
            </w:r>
          </w:p>
        </w:tc>
      </w:tr>
    </w:tbl>
    <w:p>
      <w:pPr>
        <w:spacing w:line="440" w:lineRule="exact"/>
        <w:ind w:firstLine="560"/>
        <w:rPr>
          <w:rFonts w:ascii="Times New Roman" w:hAnsi="Times New Roman" w:eastAsia="宋体"/>
          <w:color w:val="auto"/>
          <w:sz w:val="28"/>
        </w:rPr>
      </w:pPr>
      <w:r>
        <w:rPr>
          <w:rFonts w:ascii="Times New Roman" w:hAnsi="Times New Roman" w:eastAsia="宋体"/>
          <w:color w:val="auto"/>
          <w:sz w:val="28"/>
        </w:rPr>
        <w:t xml:space="preserve">      </w:t>
      </w:r>
    </w:p>
    <w:p>
      <w:pPr>
        <w:spacing w:line="440" w:lineRule="exact"/>
        <w:ind w:firstLine="560"/>
        <w:rPr>
          <w:rFonts w:ascii="Times New Roman" w:hAnsi="Times New Roman" w:eastAsia="宋体"/>
          <w:color w:val="auto"/>
          <w:sz w:val="28"/>
        </w:rPr>
      </w:pPr>
    </w:p>
    <w:tbl>
      <w:tblPr>
        <w:tblStyle w:val="4"/>
        <w:tblW w:w="10420" w:type="dxa"/>
        <w:tblInd w:w="0" w:type="dxa"/>
        <w:tblLayout w:type="fixed"/>
        <w:tblCellMar>
          <w:top w:w="0" w:type="dxa"/>
          <w:left w:w="0" w:type="dxa"/>
          <w:bottom w:w="0" w:type="dxa"/>
          <w:right w:w="0" w:type="dxa"/>
        </w:tblCellMar>
      </w:tblPr>
      <w:tblGrid>
        <w:gridCol w:w="1667"/>
        <w:gridCol w:w="2622"/>
        <w:gridCol w:w="6131"/>
      </w:tblGrid>
      <w:tr>
        <w:tblPrEx>
          <w:tblLayout w:type="fixed"/>
          <w:tblCellMar>
            <w:top w:w="0" w:type="dxa"/>
            <w:left w:w="0" w:type="dxa"/>
            <w:bottom w:w="0" w:type="dxa"/>
            <w:right w:w="0" w:type="dxa"/>
          </w:tblCellMar>
        </w:tblPrEx>
        <w:trPr>
          <w:trHeight w:val="377" w:hRule="atLeast"/>
        </w:trPr>
        <w:tc>
          <w:tcPr>
            <w:tcW w:w="166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b/>
                <w:color w:val="auto"/>
                <w:sz w:val="28"/>
              </w:rPr>
              <w:t>联系方式</w:t>
            </w:r>
          </w:p>
        </w:tc>
        <w:tc>
          <w:tcPr>
            <w:tcW w:w="2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color w:val="auto"/>
                <w:sz w:val="28"/>
              </w:rPr>
              <w:t>交易场所</w:t>
            </w:r>
          </w:p>
        </w:tc>
        <w:tc>
          <w:tcPr>
            <w:tcW w:w="6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Times New Roman" w:hAnsi="Times New Roman" w:eastAsia="宋体"/>
                <w:color w:val="auto"/>
                <w:sz w:val="28"/>
              </w:rPr>
            </w:pPr>
            <w:r>
              <w:rPr>
                <w:rFonts w:hint="eastAsia" w:ascii="Times New Roman" w:eastAsia="宋体"/>
                <w:color w:val="auto"/>
                <w:sz w:val="28"/>
              </w:rPr>
              <w:t>广西联合产权交易所有限责任公司</w:t>
            </w:r>
          </w:p>
        </w:tc>
      </w:tr>
      <w:tr>
        <w:tblPrEx>
          <w:tblLayout w:type="fixed"/>
          <w:tblCellMar>
            <w:top w:w="0" w:type="dxa"/>
            <w:left w:w="0" w:type="dxa"/>
            <w:bottom w:w="0" w:type="dxa"/>
            <w:right w:w="0" w:type="dxa"/>
          </w:tblCellMar>
        </w:tblPrEx>
        <w:trPr>
          <w:trHeight w:val="1114" w:hRule="atLeast"/>
        </w:trPr>
        <w:tc>
          <w:tcPr>
            <w:tcW w:w="16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olor w:val="auto"/>
                <w:sz w:val="28"/>
              </w:rPr>
            </w:pPr>
          </w:p>
        </w:tc>
        <w:tc>
          <w:tcPr>
            <w:tcW w:w="2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color w:val="auto"/>
                <w:sz w:val="28"/>
              </w:rPr>
              <w:t>地</w:t>
            </w:r>
            <w:r>
              <w:rPr>
                <w:rFonts w:ascii="Times New Roman" w:hAnsi="Times New Roman" w:eastAsia="宋体"/>
                <w:color w:val="auto"/>
                <w:sz w:val="28"/>
              </w:rPr>
              <w:t xml:space="preserve">    </w:t>
            </w:r>
            <w:r>
              <w:rPr>
                <w:rFonts w:hint="eastAsia" w:ascii="Times New Roman" w:eastAsia="宋体"/>
                <w:color w:val="auto"/>
                <w:sz w:val="28"/>
              </w:rPr>
              <w:t>址</w:t>
            </w:r>
          </w:p>
        </w:tc>
        <w:tc>
          <w:tcPr>
            <w:tcW w:w="6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560"/>
              <w:rPr>
                <w:rFonts w:ascii="Times New Roman" w:hAnsi="Times New Roman" w:eastAsia="宋体"/>
                <w:color w:val="auto"/>
                <w:sz w:val="28"/>
              </w:rPr>
            </w:pPr>
            <w:r>
              <w:rPr>
                <w:rFonts w:ascii="Times New Roman" w:hAnsi="Times New Roman" w:eastAsia="宋体"/>
                <w:color w:val="auto"/>
                <w:sz w:val="28"/>
              </w:rPr>
              <w:t>1</w:t>
            </w:r>
            <w:r>
              <w:rPr>
                <w:rFonts w:hint="eastAsia" w:ascii="Times New Roman" w:hAnsi="Times New Roman" w:eastAsia="宋体"/>
                <w:color w:val="auto"/>
                <w:sz w:val="28"/>
              </w:rPr>
              <w:t>、广西南宁市青秀区朱槿路</w:t>
            </w:r>
            <w:r>
              <w:rPr>
                <w:rFonts w:ascii="Times New Roman" w:hAnsi="Times New Roman" w:eastAsia="宋体"/>
                <w:color w:val="auto"/>
                <w:sz w:val="28"/>
              </w:rPr>
              <w:t>16</w:t>
            </w:r>
            <w:r>
              <w:rPr>
                <w:rFonts w:hint="eastAsia" w:ascii="Times New Roman" w:hAnsi="Times New Roman" w:eastAsia="宋体"/>
                <w:color w:val="auto"/>
                <w:sz w:val="28"/>
              </w:rPr>
              <w:t>号菲律宾园•金菲豪园</w:t>
            </w:r>
            <w:r>
              <w:rPr>
                <w:rFonts w:ascii="Times New Roman" w:hAnsi="Times New Roman" w:eastAsia="宋体"/>
                <w:color w:val="auto"/>
                <w:sz w:val="28"/>
              </w:rPr>
              <w:t>2</w:t>
            </w:r>
            <w:r>
              <w:rPr>
                <w:rFonts w:hint="eastAsia" w:ascii="Times New Roman" w:hAnsi="Times New Roman" w:eastAsia="宋体"/>
                <w:color w:val="auto"/>
                <w:sz w:val="28"/>
              </w:rPr>
              <w:t>号楼南宁金融大厦</w:t>
            </w:r>
            <w:r>
              <w:rPr>
                <w:rFonts w:ascii="Times New Roman" w:hAnsi="Times New Roman" w:eastAsia="宋体"/>
                <w:color w:val="auto"/>
                <w:sz w:val="28"/>
              </w:rPr>
              <w:t>2</w:t>
            </w:r>
            <w:r>
              <w:rPr>
                <w:rFonts w:hint="eastAsia" w:ascii="Times New Roman" w:hAnsi="Times New Roman" w:eastAsia="宋体"/>
                <w:color w:val="auto"/>
                <w:sz w:val="28"/>
              </w:rPr>
              <w:t>楼</w:t>
            </w:r>
          </w:p>
          <w:p>
            <w:pPr>
              <w:spacing w:line="440" w:lineRule="exact"/>
              <w:ind w:firstLine="560"/>
              <w:rPr>
                <w:rFonts w:ascii="Times New Roman" w:hAnsi="Times New Roman" w:eastAsia="宋体"/>
                <w:color w:val="auto"/>
                <w:sz w:val="28"/>
              </w:rPr>
            </w:pPr>
            <w:r>
              <w:rPr>
                <w:rFonts w:ascii="Times New Roman" w:hAnsi="Times New Roman" w:eastAsia="宋体"/>
                <w:color w:val="auto"/>
                <w:sz w:val="28"/>
              </w:rPr>
              <w:t>2</w:t>
            </w:r>
            <w:r>
              <w:rPr>
                <w:rFonts w:hint="eastAsia" w:ascii="Times New Roman" w:hAnsi="Times New Roman" w:eastAsia="宋体"/>
                <w:color w:val="auto"/>
                <w:sz w:val="28"/>
              </w:rPr>
              <w:t>、广西南宁市良庆区玉洞大道</w:t>
            </w:r>
            <w:r>
              <w:rPr>
                <w:rFonts w:ascii="Times New Roman" w:hAnsi="Times New Roman" w:eastAsia="宋体"/>
                <w:color w:val="auto"/>
                <w:sz w:val="28"/>
              </w:rPr>
              <w:t>33</w:t>
            </w:r>
            <w:r>
              <w:rPr>
                <w:rFonts w:hint="eastAsia" w:ascii="Times New Roman" w:hAnsi="Times New Roman" w:eastAsia="宋体"/>
                <w:color w:val="auto"/>
                <w:sz w:val="28"/>
              </w:rPr>
              <w:t>号（市青少年活动中心旁）</w:t>
            </w:r>
            <w:r>
              <w:rPr>
                <w:rFonts w:ascii="Times New Roman" w:hAnsi="Times New Roman" w:eastAsia="宋体"/>
                <w:color w:val="auto"/>
                <w:sz w:val="28"/>
              </w:rPr>
              <w:t xml:space="preserve"> 9</w:t>
            </w:r>
            <w:r>
              <w:rPr>
                <w:rFonts w:hint="eastAsia" w:ascii="Times New Roman" w:hAnsi="Times New Roman" w:eastAsia="宋体"/>
                <w:color w:val="auto"/>
                <w:sz w:val="28"/>
              </w:rPr>
              <w:t>楼南宁市公共资源交易中心</w:t>
            </w:r>
            <w:r>
              <w:rPr>
                <w:rFonts w:ascii="Times New Roman" w:hAnsi="Times New Roman" w:eastAsia="宋体"/>
                <w:color w:val="auto"/>
                <w:sz w:val="28"/>
              </w:rPr>
              <w:t xml:space="preserve"> </w:t>
            </w:r>
          </w:p>
        </w:tc>
      </w:tr>
      <w:tr>
        <w:tblPrEx>
          <w:tblLayout w:type="fixed"/>
          <w:tblCellMar>
            <w:top w:w="0" w:type="dxa"/>
            <w:left w:w="0" w:type="dxa"/>
            <w:bottom w:w="0" w:type="dxa"/>
            <w:right w:w="0" w:type="dxa"/>
          </w:tblCellMar>
        </w:tblPrEx>
        <w:trPr>
          <w:trHeight w:val="377" w:hRule="atLeast"/>
        </w:trPr>
        <w:tc>
          <w:tcPr>
            <w:tcW w:w="16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olor w:val="auto"/>
                <w:sz w:val="28"/>
              </w:rPr>
            </w:pPr>
          </w:p>
        </w:tc>
        <w:tc>
          <w:tcPr>
            <w:tcW w:w="2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hAnsi="Times New Roman" w:eastAsia="宋体"/>
                <w:color w:val="auto"/>
                <w:sz w:val="28"/>
              </w:rPr>
              <w:t>项目负责人</w:t>
            </w:r>
          </w:p>
          <w:p>
            <w:pPr>
              <w:spacing w:line="440" w:lineRule="exact"/>
              <w:jc w:val="center"/>
              <w:rPr>
                <w:rFonts w:ascii="Times New Roman" w:hAnsi="Times New Roman" w:eastAsia="宋体"/>
                <w:color w:val="auto"/>
                <w:sz w:val="28"/>
              </w:rPr>
            </w:pPr>
            <w:r>
              <w:rPr>
                <w:rFonts w:hint="eastAsia" w:ascii="Times New Roman" w:hAnsi="Times New Roman" w:eastAsia="宋体"/>
                <w:color w:val="auto"/>
                <w:sz w:val="28"/>
              </w:rPr>
              <w:t>及其联系电话</w:t>
            </w:r>
          </w:p>
        </w:tc>
        <w:tc>
          <w:tcPr>
            <w:tcW w:w="6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Times New Roman" w:hAnsi="Times New Roman" w:eastAsia="宋体"/>
                <w:color w:val="auto"/>
                <w:sz w:val="28"/>
              </w:rPr>
            </w:pPr>
            <w:r>
              <w:rPr>
                <w:rFonts w:hint="eastAsia" w:ascii="Times New Roman" w:hAnsi="Times New Roman" w:eastAsia="宋体"/>
                <w:color w:val="auto"/>
                <w:sz w:val="28"/>
              </w:rPr>
              <w:t>黄先生</w:t>
            </w:r>
            <w:r>
              <w:rPr>
                <w:rFonts w:ascii="Times New Roman" w:hAnsi="Times New Roman" w:eastAsia="宋体"/>
                <w:color w:val="auto"/>
                <w:sz w:val="28"/>
              </w:rPr>
              <w:t xml:space="preserve"> 0771-5837327</w:t>
            </w:r>
            <w:r>
              <w:rPr>
                <w:rFonts w:hint="eastAsia" w:ascii="Times New Roman" w:hAnsi="Times New Roman" w:eastAsia="宋体"/>
                <w:color w:val="auto"/>
                <w:sz w:val="28"/>
              </w:rPr>
              <w:t>、</w:t>
            </w:r>
            <w:r>
              <w:rPr>
                <w:rFonts w:ascii="Times New Roman" w:hAnsi="Times New Roman" w:eastAsia="宋体"/>
                <w:color w:val="auto"/>
                <w:sz w:val="28"/>
              </w:rPr>
              <w:t>18907715522</w:t>
            </w:r>
          </w:p>
        </w:tc>
      </w:tr>
      <w:tr>
        <w:tblPrEx>
          <w:tblLayout w:type="fixed"/>
          <w:tblCellMar>
            <w:top w:w="0" w:type="dxa"/>
            <w:left w:w="0" w:type="dxa"/>
            <w:bottom w:w="0" w:type="dxa"/>
            <w:right w:w="0" w:type="dxa"/>
          </w:tblCellMar>
        </w:tblPrEx>
        <w:trPr>
          <w:trHeight w:val="377" w:hRule="atLeast"/>
        </w:trPr>
        <w:tc>
          <w:tcPr>
            <w:tcW w:w="16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olor w:val="auto"/>
                <w:sz w:val="28"/>
              </w:rPr>
            </w:pPr>
          </w:p>
        </w:tc>
        <w:tc>
          <w:tcPr>
            <w:tcW w:w="2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hAnsi="Times New Roman" w:eastAsia="宋体"/>
                <w:color w:val="auto"/>
                <w:sz w:val="28"/>
              </w:rPr>
              <w:t>项目报名前台</w:t>
            </w:r>
          </w:p>
          <w:p>
            <w:pPr>
              <w:spacing w:line="440" w:lineRule="exact"/>
              <w:jc w:val="center"/>
              <w:rPr>
                <w:rFonts w:ascii="Times New Roman" w:hAnsi="Times New Roman" w:eastAsia="宋体"/>
                <w:color w:val="auto"/>
                <w:sz w:val="28"/>
              </w:rPr>
            </w:pPr>
            <w:r>
              <w:rPr>
                <w:rFonts w:hint="eastAsia" w:ascii="Times New Roman" w:hAnsi="Times New Roman" w:eastAsia="宋体"/>
                <w:color w:val="auto"/>
                <w:sz w:val="28"/>
              </w:rPr>
              <w:t>联系电话</w:t>
            </w:r>
          </w:p>
        </w:tc>
        <w:tc>
          <w:tcPr>
            <w:tcW w:w="6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Times New Roman" w:hAnsi="Times New Roman" w:eastAsia="宋体"/>
                <w:color w:val="auto"/>
                <w:sz w:val="28"/>
              </w:rPr>
            </w:pPr>
            <w:r>
              <w:rPr>
                <w:rFonts w:ascii="Times New Roman" w:hAnsi="Times New Roman" w:eastAsia="宋体"/>
                <w:color w:val="auto"/>
                <w:sz w:val="28"/>
              </w:rPr>
              <w:t>0771-5853262</w:t>
            </w:r>
            <w:r>
              <w:rPr>
                <w:rFonts w:hint="eastAsia" w:ascii="Times New Roman" w:hAnsi="Times New Roman" w:eastAsia="宋体"/>
                <w:color w:val="auto"/>
                <w:sz w:val="28"/>
              </w:rPr>
              <w:t>、</w:t>
            </w:r>
            <w:r>
              <w:rPr>
                <w:rFonts w:ascii="Times New Roman" w:hAnsi="Times New Roman" w:eastAsia="宋体"/>
                <w:color w:val="auto"/>
                <w:sz w:val="28"/>
              </w:rPr>
              <w:t>0771-2856762</w:t>
            </w:r>
          </w:p>
        </w:tc>
      </w:tr>
      <w:tr>
        <w:tblPrEx>
          <w:tblLayout w:type="fixed"/>
          <w:tblCellMar>
            <w:top w:w="0" w:type="dxa"/>
            <w:left w:w="0" w:type="dxa"/>
            <w:bottom w:w="0" w:type="dxa"/>
            <w:right w:w="0" w:type="dxa"/>
          </w:tblCellMar>
        </w:tblPrEx>
        <w:trPr>
          <w:trHeight w:val="386" w:hRule="atLeast"/>
        </w:trPr>
        <w:tc>
          <w:tcPr>
            <w:tcW w:w="16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olor w:val="auto"/>
                <w:sz w:val="28"/>
              </w:rPr>
            </w:pPr>
          </w:p>
        </w:tc>
        <w:tc>
          <w:tcPr>
            <w:tcW w:w="2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Times New Roman" w:hAnsi="Times New Roman" w:eastAsia="宋体"/>
                <w:color w:val="auto"/>
                <w:sz w:val="28"/>
              </w:rPr>
            </w:pPr>
            <w:r>
              <w:rPr>
                <w:rFonts w:hint="eastAsia" w:ascii="Times New Roman" w:eastAsia="宋体"/>
                <w:color w:val="auto"/>
                <w:sz w:val="28"/>
              </w:rPr>
              <w:t>传</w:t>
            </w:r>
            <w:r>
              <w:rPr>
                <w:rFonts w:ascii="Times New Roman" w:hAnsi="Times New Roman" w:eastAsia="宋体"/>
                <w:color w:val="auto"/>
                <w:sz w:val="28"/>
              </w:rPr>
              <w:t xml:space="preserve">    </w:t>
            </w:r>
            <w:r>
              <w:rPr>
                <w:rFonts w:hint="eastAsia" w:ascii="Times New Roman" w:eastAsia="宋体"/>
                <w:color w:val="auto"/>
                <w:sz w:val="28"/>
              </w:rPr>
              <w:t>真</w:t>
            </w:r>
          </w:p>
        </w:tc>
        <w:tc>
          <w:tcPr>
            <w:tcW w:w="6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Times New Roman" w:hAnsi="Times New Roman" w:eastAsia="宋体"/>
                <w:color w:val="auto"/>
                <w:sz w:val="28"/>
              </w:rPr>
            </w:pPr>
            <w:r>
              <w:rPr>
                <w:rFonts w:ascii="Times New Roman" w:hAnsi="Times New Roman" w:eastAsia="宋体"/>
                <w:color w:val="auto"/>
                <w:sz w:val="28"/>
              </w:rPr>
              <w:t>0771-5705627</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1E24E"/>
    <w:multiLevelType w:val="singleLevel"/>
    <w:tmpl w:val="BEE1E2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6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cs="宋体" w:eastAsiaTheme="minorEastAsia"/>
      <w:kern w:val="0"/>
      <w:sz w:val="20"/>
      <w:szCs w:val="2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大雄与小熊</cp:lastModifiedBy>
  <dcterms:modified xsi:type="dcterms:W3CDTF">2019-01-21T07:21:16Z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